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83.140.30</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C 29</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val="en-US"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6</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14:paraId="25AC21B8">
      <w:pPr>
        <w:spacing w:line="360" w:lineRule="auto"/>
        <w:rPr>
          <w:rFonts w:ascii="Times New Roman" w:hAnsi="Times New Roman" w:eastAsia="宋体" w:cs="Times New Roman"/>
          <w:szCs w:val="22"/>
        </w:rPr>
      </w:pPr>
    </w:p>
    <w:p w14:paraId="2E3D06D4">
      <w:pPr>
        <w:spacing w:line="360" w:lineRule="auto"/>
        <w:rPr>
          <w:rFonts w:ascii="Times New Roman" w:hAnsi="Times New Roman" w:eastAsia="宋体" w:cs="Times New Roman"/>
          <w:szCs w:val="22"/>
        </w:rPr>
      </w:pPr>
    </w:p>
    <w:p w14:paraId="118AED41">
      <w:pPr>
        <w:spacing w:line="360" w:lineRule="auto"/>
        <w:jc w:val="center"/>
        <w:rPr>
          <w:rFonts w:ascii="Times New Roman" w:hAnsi="Times New Roman" w:eastAsia="黑体" w:cs="Times New Roman"/>
          <w:sz w:val="52"/>
          <w:szCs w:val="52"/>
        </w:rPr>
      </w:pPr>
    </w:p>
    <w:p w14:paraId="6D94EED4">
      <w:pPr>
        <w:spacing w:line="360" w:lineRule="auto"/>
        <w:jc w:val="center"/>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高性能改性聚丙烯（MPP）电缆保护管</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High performance modified polypropylene (MPP) cable protection pipe</w:t>
      </w:r>
    </w:p>
    <w:p w14:paraId="02D21928">
      <w:pPr>
        <w:spacing w:line="360" w:lineRule="auto"/>
        <w:jc w:val="both"/>
        <w:rPr>
          <w:rFonts w:ascii="Times New Roman" w:hAnsi="Times New Roman" w:eastAsia="宋体" w:cs="Times New Roman"/>
          <w:szCs w:val="22"/>
        </w:rPr>
      </w:pPr>
    </w:p>
    <w:p w14:paraId="6DC243CD">
      <w:pPr>
        <w:spacing w:line="360" w:lineRule="auto"/>
        <w:jc w:val="both"/>
        <w:rPr>
          <w:rFonts w:ascii="Times New Roman" w:hAnsi="Times New Roman" w:eastAsia="宋体" w:cs="Times New Roman"/>
          <w:szCs w:val="22"/>
        </w:rPr>
      </w:pPr>
    </w:p>
    <w:p w14:paraId="3BBB8A2F">
      <w:pPr>
        <w:spacing w:line="360" w:lineRule="auto"/>
        <w:jc w:val="both"/>
        <w:rPr>
          <w:rFonts w:ascii="Times New Roman" w:hAnsi="Times New Roman" w:eastAsia="宋体" w:cs="Times New Roman"/>
          <w:szCs w:val="22"/>
        </w:rPr>
      </w:pPr>
    </w:p>
    <w:p w14:paraId="3EFD953D">
      <w:pPr>
        <w:spacing w:line="360" w:lineRule="auto"/>
        <w:jc w:val="both"/>
        <w:rPr>
          <w:rFonts w:ascii="Times New Roman" w:hAnsi="Times New Roman" w:eastAsia="宋体" w:cs="Times New Roman"/>
          <w:szCs w:val="22"/>
        </w:rPr>
      </w:pPr>
    </w:p>
    <w:p w14:paraId="2391303C">
      <w:pPr>
        <w:spacing w:line="360" w:lineRule="auto"/>
        <w:jc w:val="both"/>
        <w:rPr>
          <w:rFonts w:hint="eastAsia" w:ascii="Times New Roman" w:hAnsi="Times New Roman" w:cs="Times New Roman"/>
          <w:szCs w:val="22"/>
          <w:lang w:val="en-US" w:eastAsia="zh-CN"/>
        </w:rPr>
      </w:pPr>
    </w:p>
    <w:p w14:paraId="3E74B0B8">
      <w:pPr>
        <w:spacing w:line="360" w:lineRule="auto"/>
        <w:jc w:val="both"/>
        <w:rPr>
          <w:rFonts w:ascii="Times New Roman" w:hAnsi="Times New Roman" w:eastAsia="宋体" w:cs="Times New Roman"/>
          <w:szCs w:val="22"/>
        </w:rPr>
      </w:pPr>
    </w:p>
    <w:p w14:paraId="60B52B95">
      <w:pPr>
        <w:spacing w:line="360" w:lineRule="auto"/>
        <w:jc w:val="both"/>
        <w:rPr>
          <w:rFonts w:ascii="Times New Roman" w:hAnsi="Times New Roman" w:eastAsia="宋体" w:cs="Times New Roman"/>
          <w:szCs w:val="22"/>
        </w:rPr>
      </w:pPr>
      <w:bookmarkStart w:id="84" w:name="_GoBack"/>
      <w:bookmarkEnd w:id="84"/>
    </w:p>
    <w:p w14:paraId="6B55877D">
      <w:pPr>
        <w:spacing w:line="360" w:lineRule="auto"/>
        <w:rPr>
          <w:rFonts w:ascii="Times New Roman" w:hAnsi="Times New Roman" w:eastAsia="宋体" w:cs="Times New Roman"/>
          <w:szCs w:val="22"/>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7EA1BE5F">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14:paraId="5DBCE0A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_Toc4477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_Toc4477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289D35D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_Toc11563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_Toc11563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CE3E12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_Toc11154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_Toc11154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0CCECC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_Toc3742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_Toc3742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9C69FE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_Toc9440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4 </w:t>
      </w:r>
      <w:r>
        <w:rPr>
          <w:rFonts w:hint="eastAsia" w:ascii="宋体" w:hAnsi="宋体" w:eastAsia="宋体" w:cs="宋体"/>
          <w:szCs w:val="21"/>
          <w:lang w:val="en-US" w:eastAsia="zh-CN"/>
        </w:rPr>
        <w:t>产品分类及规格参数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20C522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_Toc8296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ascii="宋体" w:hAnsi="宋体" w:eastAsia="宋体" w:cs="宋体"/>
          <w:lang w:val="en-US" w:eastAsia="zh-CN" w:bidi="ar-SA"/>
        </w:rPr>
        <w:t>产品分类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_Toc8296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53FEDB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_Toc30411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ascii="宋体" w:hAnsi="宋体" w:eastAsia="宋体" w:cs="宋体"/>
          <w:lang w:val="en-US" w:eastAsia="zh-CN" w:bidi="ar-SA"/>
        </w:rPr>
        <w:t>型号编制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_Toc30411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73ADB1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ascii="宋体" w:hAnsi="宋体" w:eastAsia="宋体" w:cs="宋体"/>
          <w:lang w:val="en-US" w:eastAsia="zh-CN" w:bidi="ar-SA"/>
        </w:rPr>
        <w:t>规格尺寸及允许偏差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_Toc10910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FE9181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_Toc29790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5 </w:t>
      </w:r>
      <w:r>
        <w:rPr>
          <w:rFonts w:hint="eastAsia" w:ascii="宋体" w:hAnsi="宋体" w:eastAsia="宋体" w:cs="宋体"/>
          <w:szCs w:val="21"/>
          <w:lang w:val="en-US" w:eastAsia="zh-CN"/>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_Toc29790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C90DC3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_Toc2275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ascii="宋体" w:hAnsi="宋体" w:eastAsia="宋体" w:cs="宋体"/>
          <w:lang w:val="en-US" w:eastAsia="zh-CN" w:bidi="ar-SA"/>
        </w:rPr>
        <w:t>原料性能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821F1B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_Toc20922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ascii="宋体" w:hAnsi="宋体" w:eastAsia="宋体" w:cs="宋体"/>
          <w:lang w:val="en-US" w:eastAsia="zh-CN" w:bidi="ar-SA"/>
        </w:rPr>
        <w:t>外观质量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_Toc20922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27BA8B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_Toc4337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ascii="宋体" w:hAnsi="宋体" w:eastAsia="宋体" w:cs="宋体"/>
          <w:lang w:val="en-US" w:eastAsia="zh-CN" w:bidi="ar-SA"/>
        </w:rPr>
        <w:t>尺寸要求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_Toc4337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E3C689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_Toc16199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ascii="宋体" w:hAnsi="宋体" w:eastAsia="宋体" w:cs="宋体"/>
          <w:lang w:val="en-US" w:eastAsia="zh-CN" w:bidi="ar-SA"/>
        </w:rPr>
        <w:t>物理力学性能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_Toc16199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5B6458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5.5 </w:t>
      </w:r>
      <w:r>
        <w:rPr>
          <w:rFonts w:hint="eastAsia" w:ascii="宋体" w:hAnsi="宋体" w:eastAsia="宋体" w:cs="宋体"/>
          <w:lang w:val="en-US" w:eastAsia="zh-CN" w:bidi="ar-SA"/>
        </w:rPr>
        <w:t>耐老化性能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3A5CA0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_Toc17785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5.6 </w:t>
      </w:r>
      <w:r>
        <w:rPr>
          <w:rFonts w:hint="eastAsia" w:ascii="宋体" w:hAnsi="宋体" w:eastAsia="宋体" w:cs="宋体"/>
          <w:lang w:val="en-US" w:eastAsia="zh-CN" w:bidi="ar-SA"/>
        </w:rPr>
        <w:t>热熔对接接头性能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_Toc17785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F12B32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_Toc1988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6 </w:t>
      </w:r>
      <w:r>
        <w:rPr>
          <w:rFonts w:hint="eastAsia" w:ascii="宋体" w:hAnsi="宋体" w:eastAsia="宋体" w:cs="宋体"/>
          <w:szCs w:val="21"/>
          <w:lang w:val="en-US" w:eastAsia="zh-CN"/>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72146DF">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ascii="宋体" w:hAnsi="宋体" w:eastAsia="宋体" w:cs="宋体"/>
          <w:lang w:val="en-US" w:eastAsia="zh-CN" w:bidi="ar-SA"/>
        </w:rPr>
        <w:t>原料性能试验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_Toc19419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B7E287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_Toc22049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ascii="宋体" w:hAnsi="宋体" w:eastAsia="宋体" w:cs="宋体"/>
          <w:lang w:val="en-US" w:eastAsia="zh-CN" w:bidi="ar-SA"/>
        </w:rPr>
        <w:t>外观质量检查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_Toc22049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3DA488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_Toc3423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ascii="宋体" w:hAnsi="宋体" w:eastAsia="宋体" w:cs="宋体"/>
          <w:lang w:val="en-US" w:eastAsia="zh-CN" w:bidi="ar-SA"/>
        </w:rPr>
        <w:t>尺寸测量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_Toc3423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041D15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_Toc6245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ascii="宋体" w:hAnsi="宋体" w:eastAsia="宋体" w:cs="宋体"/>
          <w:lang w:val="en-US" w:eastAsia="zh-CN" w:bidi="ar-SA"/>
        </w:rPr>
        <w:t>物理力学性能试验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_Toc6245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486FB28">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_Toc3140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ascii="宋体" w:hAnsi="宋体" w:eastAsia="宋体" w:cs="宋体"/>
          <w:lang w:val="en-US" w:eastAsia="zh-CN" w:bidi="ar-SA"/>
        </w:rPr>
        <w:t>耐老化性能试验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D54867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ascii="宋体" w:hAnsi="宋体" w:eastAsia="宋体" w:cs="宋体"/>
          <w:lang w:val="en-US" w:eastAsia="zh-CN" w:bidi="ar-SA"/>
        </w:rPr>
        <w:t>热熔对接接头性能试验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279962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_Toc27152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7 </w:t>
      </w:r>
      <w:r>
        <w:rPr>
          <w:rFonts w:hint="eastAsia" w:ascii="宋体" w:hAnsi="宋体" w:eastAsia="宋体" w:cs="宋体"/>
          <w:szCs w:val="21"/>
          <w:lang w:val="en-US" w:eastAsia="zh-CN"/>
        </w:rPr>
        <w:t>检验规则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_Toc27152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9E75ABF">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ascii="宋体" w:hAnsi="宋体" w:eastAsia="宋体" w:cs="宋体"/>
          <w:lang w:val="en-US" w:eastAsia="zh-CN" w:bidi="ar-SA"/>
        </w:rPr>
        <w:t>检验分类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D40BE2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_Toc27758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ascii="宋体" w:hAnsi="宋体" w:eastAsia="宋体" w:cs="宋体"/>
          <w:lang w:val="en-US" w:eastAsia="zh-CN" w:bidi="ar-SA"/>
        </w:rPr>
        <w:t>出厂检验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_Toc27758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8AF848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_Toc23104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ascii="宋体" w:hAnsi="宋体" w:eastAsia="宋体" w:cs="宋体"/>
          <w:lang w:val="en-US" w:eastAsia="zh-CN" w:bidi="ar-SA"/>
        </w:rPr>
        <w:t>型式检验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_Toc23104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00C3FC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_Toc32244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8 </w:t>
      </w:r>
      <w:r>
        <w:rPr>
          <w:rFonts w:hint="eastAsia" w:ascii="宋体" w:hAnsi="宋体" w:eastAsia="宋体" w:cs="宋体"/>
          <w:szCs w:val="21"/>
          <w:lang w:val="en-US" w:eastAsia="zh-CN"/>
        </w:rPr>
        <w:t>标志、包装、运输和贮存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_Toc32244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74B246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_Toc17484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ascii="宋体" w:hAnsi="宋体" w:eastAsia="宋体" w:cs="宋体"/>
          <w:lang w:val="en-US" w:eastAsia="zh-CN" w:bidi="ar-SA"/>
        </w:rPr>
        <w:t>标志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_Toc17484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302FD07">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_Toc12825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ascii="宋体" w:hAnsi="宋体" w:eastAsia="宋体" w:cs="宋体"/>
          <w:lang w:val="en-US" w:eastAsia="zh-CN" w:bidi="ar-SA"/>
        </w:rPr>
        <w:t>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_Toc12825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9F3DDF2">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_Toc26274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ascii="宋体" w:hAnsi="宋体" w:eastAsia="宋体" w:cs="宋体"/>
          <w:lang w:val="en-US" w:eastAsia="zh-CN" w:bidi="ar-SA"/>
        </w:rPr>
        <w:t>运输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28C7023">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ascii="宋体" w:hAnsi="宋体" w:eastAsia="宋体" w:cs="宋体"/>
          <w:lang w:val="en-US" w:eastAsia="zh-CN" w:bidi="ar-SA"/>
        </w:rPr>
        <w:t>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_Toc19944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34B4C16">
      <w:pPr>
        <w:pStyle w:val="20"/>
        <w:tabs>
          <w:tab w:val="right" w:leader="dot" w:pos="9354"/>
        </w:tabs>
        <w:rPr>
          <w:rFonts w:hint="eastAsia" w:ascii="宋体" w:hAnsi="宋体" w:eastAsia="宋体" w:cs="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4477"/>
      <w:bookmarkStart w:id="2" w:name="_Toc3964"/>
      <w:bookmarkStart w:id="3" w:name="BookMark2"/>
      <w:r>
        <w:rPr>
          <w:rFonts w:hint="eastAsia"/>
          <w:lang w:eastAsia="zh-CN"/>
        </w:rPr>
        <w:t>前</w:t>
      </w:r>
      <w:r>
        <w:t>言</w:t>
      </w:r>
      <w:bookmarkEnd w:id="1"/>
      <w:bookmarkEnd w:id="2"/>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pPr>
    </w:p>
    <w:p w14:paraId="01A73CA1">
      <w:pPr>
        <w:pStyle w:val="59"/>
        <w:rPr>
          <w:rFonts w:hint="default" w:eastAsia="宋体"/>
          <w:lang w:val="en-US" w:eastAsia="zh-CN"/>
        </w:rPr>
      </w:pPr>
    </w:p>
    <w:p w14:paraId="5B843A48">
      <w:pPr>
        <w:pStyle w:val="59"/>
        <w:rPr>
          <w:rFonts w:hint="default" w:eastAsia="宋体"/>
          <w:lang w:val="en-US" w:eastAsia="zh-CN"/>
        </w:rPr>
      </w:pPr>
    </w:p>
    <w:p w14:paraId="29CAB83D">
      <w:pPr>
        <w:pStyle w:val="59"/>
        <w:rPr>
          <w:rFonts w:hint="default" w:eastAsia="宋体"/>
          <w:lang w:val="en-US" w:eastAsia="zh-CN"/>
        </w:rPr>
      </w:pPr>
    </w:p>
    <w:p w14:paraId="00576C6E">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14:paraId="48FD2902">
      <w:pPr>
        <w:spacing w:line="20" w:lineRule="exact"/>
        <w:jc w:val="center"/>
        <w:rPr>
          <w:rFonts w:ascii="黑体" w:hAnsi="黑体" w:eastAsia="黑体"/>
          <w:sz w:val="32"/>
          <w:szCs w:val="32"/>
        </w:rPr>
      </w:pPr>
      <w:bookmarkStart w:id="4"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5" w:name="_Toc20229"/>
      <w:bookmarkStart w:id="6" w:name="_Toc3024"/>
      <w:bookmarkStart w:id="7" w:name="_Toc31"/>
      <w:bookmarkStart w:id="8" w:name="_Toc23214"/>
      <w:bookmarkStart w:id="9" w:name="_Toc1935"/>
      <w:bookmarkStart w:id="10" w:name="_Toc29487"/>
      <w:bookmarkStart w:id="11" w:name="_Toc26986530"/>
      <w:bookmarkStart w:id="12" w:name="_Toc17233333"/>
      <w:bookmarkStart w:id="13" w:name="_Toc24884211"/>
      <w:bookmarkStart w:id="14" w:name="_Toc26648465"/>
      <w:bookmarkStart w:id="15" w:name="_Toc26718930"/>
      <w:bookmarkStart w:id="16" w:name="_Toc24884218"/>
      <w:bookmarkStart w:id="17" w:name="_Toc113284169"/>
      <w:bookmarkStart w:id="18" w:name="_Toc26986771"/>
      <w:bookmarkStart w:id="19" w:name="_Toc17233325"/>
      <w:bookmarkStart w:id="20" w:name="_Toc97192964"/>
      <w:bookmarkStart w:id="21" w:name="NEW_STAND_NAME"/>
      <w:r>
        <w:rPr>
          <w:rFonts w:hint="eastAsia"/>
          <w:lang w:eastAsia="zh-CN"/>
        </w:rPr>
        <w:t>高性能改性聚丙烯（MPP）电缆保护管</w:t>
      </w:r>
      <w:bookmarkEnd w:id="5"/>
      <w:bookmarkEnd w:id="6"/>
      <w:bookmarkEnd w:id="7"/>
      <w:bookmarkEnd w:id="8"/>
      <w:bookmarkEnd w:id="9"/>
      <w:bookmarkEnd w:id="10"/>
    </w:p>
    <w:bookmarkEnd w:id="11"/>
    <w:bookmarkEnd w:id="12"/>
    <w:bookmarkEnd w:id="13"/>
    <w:bookmarkEnd w:id="14"/>
    <w:bookmarkEnd w:id="15"/>
    <w:bookmarkEnd w:id="16"/>
    <w:bookmarkEnd w:id="17"/>
    <w:bookmarkEnd w:id="18"/>
    <w:bookmarkEnd w:id="19"/>
    <w:bookmarkEnd w:id="20"/>
    <w:bookmarkEnd w:id="21"/>
    <w:p w14:paraId="056DA4FB">
      <w:pPr>
        <w:pStyle w:val="107"/>
        <w:spacing w:before="240" w:after="240"/>
      </w:pPr>
      <w:bookmarkStart w:id="22" w:name="_Toc24419"/>
      <w:bookmarkStart w:id="23" w:name="_Toc23108"/>
      <w:bookmarkStart w:id="24" w:name="_Toc11563"/>
      <w:bookmarkStart w:id="25" w:name="_Toc113282590"/>
      <w:bookmarkStart w:id="26" w:name="_Toc7073"/>
      <w:r>
        <w:rPr>
          <w:rFonts w:hint="eastAsia"/>
        </w:rPr>
        <w:t>范围</w:t>
      </w:r>
      <w:bookmarkEnd w:id="22"/>
      <w:bookmarkEnd w:id="23"/>
      <w:bookmarkEnd w:id="24"/>
      <w:bookmarkEnd w:id="25"/>
      <w:bookmarkEnd w:id="26"/>
    </w:p>
    <w:p w14:paraId="2ADE793A">
      <w:pPr>
        <w:pStyle w:val="59"/>
        <w:ind w:firstLine="420"/>
        <w:rPr>
          <w:rFonts w:hint="eastAsia"/>
          <w:lang w:eastAsia="zh-CN"/>
        </w:rPr>
      </w:pPr>
      <w:bookmarkStart w:id="27" w:name="_Toc17233334"/>
      <w:bookmarkStart w:id="28" w:name="_Toc24884219"/>
      <w:bookmarkStart w:id="29" w:name="_Toc17233326"/>
      <w:bookmarkStart w:id="30" w:name="_Toc24884212"/>
      <w:bookmarkStart w:id="31" w:name="_Toc26648466"/>
      <w:r>
        <w:rPr>
          <w:rFonts w:hint="eastAsia"/>
          <w:lang w:eastAsia="zh-CN"/>
        </w:rPr>
        <w:t>本</w:t>
      </w:r>
      <w:r>
        <w:rPr>
          <w:rFonts w:hint="eastAsia"/>
          <w:lang w:val="en-US" w:eastAsia="zh-CN"/>
        </w:rPr>
        <w:t>文件</w:t>
      </w:r>
      <w:r>
        <w:rPr>
          <w:rFonts w:hint="eastAsia"/>
          <w:lang w:eastAsia="zh-CN"/>
        </w:rPr>
        <w:t>规定了高性能改性聚丙烯（MPP）电缆保护管的产品分类</w:t>
      </w:r>
      <w:r>
        <w:rPr>
          <w:rFonts w:hint="eastAsia"/>
          <w:lang w:val="en-US" w:eastAsia="zh-CN"/>
        </w:rPr>
        <w:t>及</w:t>
      </w:r>
      <w:r>
        <w:rPr>
          <w:rFonts w:hint="eastAsia"/>
          <w:lang w:eastAsia="zh-CN"/>
        </w:rPr>
        <w:t>规格</w:t>
      </w:r>
      <w:r>
        <w:rPr>
          <w:rFonts w:hint="eastAsia"/>
          <w:lang w:val="en-US" w:eastAsia="zh-CN"/>
        </w:rPr>
        <w:t>参数</w:t>
      </w:r>
      <w:r>
        <w:rPr>
          <w:rFonts w:hint="eastAsia"/>
          <w:lang w:eastAsia="zh-CN"/>
        </w:rPr>
        <w:t>、技术要求、试验方法、检验规则、标志、包装、运输</w:t>
      </w:r>
      <w:r>
        <w:rPr>
          <w:rFonts w:hint="eastAsia"/>
          <w:lang w:val="en-US" w:eastAsia="zh-CN"/>
        </w:rPr>
        <w:t>和</w:t>
      </w:r>
      <w:r>
        <w:rPr>
          <w:rFonts w:hint="eastAsia"/>
          <w:lang w:eastAsia="zh-CN"/>
        </w:rPr>
        <w:t>贮存。</w:t>
      </w:r>
    </w:p>
    <w:p w14:paraId="14BF4A9C">
      <w:pPr>
        <w:pStyle w:val="59"/>
        <w:ind w:firstLine="420"/>
        <w:rPr>
          <w:rFonts w:hint="eastAsia"/>
          <w:lang w:eastAsia="zh-CN"/>
        </w:rPr>
      </w:pPr>
      <w:r>
        <w:rPr>
          <w:rFonts w:hint="eastAsia"/>
          <w:lang w:eastAsia="zh-CN"/>
        </w:rPr>
        <w:t>本</w:t>
      </w:r>
      <w:r>
        <w:rPr>
          <w:rFonts w:hint="eastAsia"/>
          <w:lang w:val="en-US" w:eastAsia="zh-CN"/>
        </w:rPr>
        <w:t>文件</w:t>
      </w:r>
      <w:r>
        <w:rPr>
          <w:rFonts w:hint="eastAsia"/>
          <w:lang w:eastAsia="zh-CN"/>
        </w:rPr>
        <w:t>适用于以嵌段共聚聚丙烯为基材制得，用于电力电缆敷设的高性能MPP电缆保护管。</w:t>
      </w:r>
    </w:p>
    <w:p w14:paraId="136AE366">
      <w:pPr>
        <w:pStyle w:val="107"/>
        <w:spacing w:before="240" w:after="240"/>
      </w:pPr>
      <w:bookmarkStart w:id="32" w:name="_Toc11154"/>
      <w:bookmarkStart w:id="33" w:name="_Toc26718931"/>
      <w:bookmarkStart w:id="34" w:name="_Toc26986772"/>
      <w:bookmarkStart w:id="35" w:name="_Toc97192965"/>
      <w:bookmarkStart w:id="36" w:name="_Toc113282591"/>
      <w:bookmarkStart w:id="37" w:name="_Toc13917"/>
      <w:bookmarkStart w:id="38" w:name="_Toc26986531"/>
      <w:bookmarkStart w:id="39" w:name="_Toc1048"/>
      <w:bookmarkStart w:id="40" w:name="_Toc19575"/>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113282592"/>
      <w:bookmarkStart w:id="42" w:name="_Toc97192966"/>
    </w:p>
    <w:p w14:paraId="73868147">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191</w:t>
      </w:r>
      <w:r>
        <w:rPr>
          <w:rFonts w:hint="eastAsia" w:ascii="宋体" w:hAnsi="宋体" w:cs="宋体"/>
          <w:lang w:val="en-US" w:eastAsia="zh-CN"/>
        </w:rPr>
        <w:t xml:space="preserve"> </w:t>
      </w:r>
      <w:r>
        <w:rPr>
          <w:rFonts w:hint="default" w:ascii="宋体" w:hAnsi="宋体" w:cs="宋体"/>
          <w:lang w:val="en-US" w:eastAsia="zh-CN"/>
        </w:rPr>
        <w:t>包装储运图形符号标志</w:t>
      </w:r>
    </w:p>
    <w:p w14:paraId="7DE0B90C">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1033.1</w:t>
      </w:r>
      <w:r>
        <w:rPr>
          <w:rFonts w:hint="eastAsia" w:ascii="宋体" w:hAnsi="宋体" w:cs="宋体"/>
          <w:lang w:val="en-US" w:eastAsia="zh-CN"/>
        </w:rPr>
        <w:t xml:space="preserve"> </w:t>
      </w:r>
      <w:r>
        <w:rPr>
          <w:rFonts w:hint="default" w:ascii="宋体" w:hAnsi="宋体" w:cs="宋体"/>
          <w:lang w:val="en-US" w:eastAsia="zh-CN"/>
        </w:rPr>
        <w:t>塑料 非泡沫塑料密度的测定 第1部分：浸渍法、液体比重瓶法和滴定法</w:t>
      </w:r>
    </w:p>
    <w:p w14:paraId="3280FDA4">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1040.1</w:t>
      </w:r>
      <w:r>
        <w:rPr>
          <w:rFonts w:hint="eastAsia" w:ascii="宋体" w:hAnsi="宋体" w:cs="宋体"/>
          <w:lang w:val="en-US" w:eastAsia="zh-CN"/>
        </w:rPr>
        <w:t xml:space="preserve"> </w:t>
      </w:r>
      <w:r>
        <w:rPr>
          <w:rFonts w:hint="default" w:ascii="宋体" w:hAnsi="宋体" w:cs="宋体"/>
          <w:lang w:val="en-US" w:eastAsia="zh-CN"/>
        </w:rPr>
        <w:t>塑料 拉伸性能的测定 第1部分：总则</w:t>
      </w:r>
    </w:p>
    <w:p w14:paraId="381FF577">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1043.1</w:t>
      </w:r>
      <w:r>
        <w:rPr>
          <w:rFonts w:hint="eastAsia" w:ascii="宋体" w:hAnsi="宋体" w:cs="宋体"/>
          <w:lang w:val="en-US" w:eastAsia="zh-CN"/>
        </w:rPr>
        <w:t xml:space="preserve"> </w:t>
      </w:r>
      <w:r>
        <w:rPr>
          <w:rFonts w:hint="default" w:ascii="宋体" w:hAnsi="宋体" w:cs="宋体"/>
          <w:lang w:val="en-US" w:eastAsia="zh-CN"/>
        </w:rPr>
        <w:t>塑料 简支梁冲击性能的测定 第1部分：非仪器化冲击试验</w:t>
      </w:r>
    </w:p>
    <w:p w14:paraId="2570E24F">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1633</w:t>
      </w:r>
      <w:r>
        <w:rPr>
          <w:rFonts w:hint="eastAsia" w:ascii="宋体" w:hAnsi="宋体" w:cs="宋体"/>
          <w:lang w:val="en-US" w:eastAsia="zh-CN"/>
        </w:rPr>
        <w:t xml:space="preserve"> </w:t>
      </w:r>
      <w:r>
        <w:rPr>
          <w:rFonts w:hint="default" w:ascii="宋体" w:hAnsi="宋体" w:cs="宋体"/>
          <w:lang w:val="en-US" w:eastAsia="zh-CN"/>
        </w:rPr>
        <w:t>热塑性塑料维卡软化温度（VST）的测定</w:t>
      </w:r>
    </w:p>
    <w:p w14:paraId="0E9D9220">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2828.1</w:t>
      </w:r>
      <w:r>
        <w:rPr>
          <w:rFonts w:hint="eastAsia" w:ascii="宋体" w:hAnsi="宋体" w:cs="宋体"/>
          <w:lang w:val="en-US" w:eastAsia="zh-CN"/>
        </w:rPr>
        <w:t xml:space="preserve"> </w:t>
      </w:r>
      <w:r>
        <w:rPr>
          <w:rFonts w:hint="default" w:ascii="宋体" w:hAnsi="宋体" w:cs="宋体"/>
          <w:lang w:val="en-US" w:eastAsia="zh-CN"/>
        </w:rPr>
        <w:t>计数抽样检验程序 第1部分：按接收质量限（AQL）检索的逐批检验抽样计划</w:t>
      </w:r>
    </w:p>
    <w:p w14:paraId="71016F36">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6671</w:t>
      </w:r>
      <w:r>
        <w:rPr>
          <w:rFonts w:hint="eastAsia" w:ascii="宋体" w:hAnsi="宋体" w:cs="宋体"/>
          <w:lang w:val="en-US" w:eastAsia="zh-CN"/>
        </w:rPr>
        <w:t xml:space="preserve"> </w:t>
      </w:r>
      <w:r>
        <w:rPr>
          <w:rFonts w:hint="default" w:ascii="宋体" w:hAnsi="宋体" w:cs="宋体"/>
          <w:lang w:val="en-US" w:eastAsia="zh-CN"/>
        </w:rPr>
        <w:t>热塑性塑料管材 纵向回缩率的测定</w:t>
      </w:r>
    </w:p>
    <w:p w14:paraId="3255CA30">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714</w:t>
      </w:r>
      <w:r>
        <w:rPr>
          <w:rFonts w:hint="eastAsia" w:ascii="宋体" w:hAnsi="宋体" w:cs="宋体"/>
          <w:lang w:val="en-US" w:eastAsia="zh-CN"/>
        </w:rPr>
        <w:t xml:space="preserve">1 </w:t>
      </w:r>
      <w:r>
        <w:rPr>
          <w:rFonts w:hint="default" w:ascii="宋体" w:hAnsi="宋体" w:cs="宋体"/>
          <w:lang w:val="en-US" w:eastAsia="zh-CN"/>
        </w:rPr>
        <w:t>塑料热老化试验方法</w:t>
      </w:r>
    </w:p>
    <w:p w14:paraId="261055AD">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9647</w:t>
      </w:r>
      <w:r>
        <w:rPr>
          <w:rFonts w:hint="eastAsia" w:ascii="宋体" w:hAnsi="宋体" w:cs="宋体"/>
          <w:lang w:val="en-US" w:eastAsia="zh-CN"/>
        </w:rPr>
        <w:t xml:space="preserve"> </w:t>
      </w:r>
      <w:r>
        <w:rPr>
          <w:rFonts w:hint="default" w:ascii="宋体" w:hAnsi="宋体" w:cs="宋体"/>
          <w:lang w:val="en-US" w:eastAsia="zh-CN"/>
        </w:rPr>
        <w:t>热塑性塑料管材 环刚度的测定</w:t>
      </w:r>
    </w:p>
    <w:p w14:paraId="6DE6005C">
      <w:pPr>
        <w:autoSpaceDE w:val="0"/>
        <w:autoSpaceDN w:val="0"/>
        <w:spacing w:line="240" w:lineRule="auto"/>
        <w:ind w:firstLine="420" w:firstLineChars="200"/>
        <w:rPr>
          <w:rFonts w:hint="default" w:ascii="宋体" w:hAnsi="宋体" w:cs="宋体"/>
          <w:lang w:val="en-US" w:eastAsia="zh-CN"/>
        </w:rPr>
      </w:pPr>
      <w:r>
        <w:rPr>
          <w:rFonts w:hint="default" w:ascii="宋体" w:hAnsi="宋体" w:cs="宋体"/>
          <w:lang w:val="en-US" w:eastAsia="zh-CN"/>
        </w:rPr>
        <w:t>GB/T 16422.3</w:t>
      </w:r>
      <w:r>
        <w:rPr>
          <w:rFonts w:hint="eastAsia" w:ascii="宋体" w:hAnsi="宋体" w:cs="宋体"/>
          <w:lang w:val="en-US" w:eastAsia="zh-CN"/>
        </w:rPr>
        <w:t xml:space="preserve"> </w:t>
      </w:r>
      <w:r>
        <w:rPr>
          <w:rFonts w:hint="default" w:ascii="宋体" w:hAnsi="宋体" w:cs="宋体"/>
          <w:lang w:val="en-US" w:eastAsia="zh-CN"/>
        </w:rPr>
        <w:t>塑料 实验室光源暴露试验方法 第3部分：荧光紫外灯</w:t>
      </w:r>
    </w:p>
    <w:p w14:paraId="6E4A9259">
      <w:pPr>
        <w:pStyle w:val="107"/>
        <w:spacing w:before="240" w:after="240"/>
      </w:pPr>
      <w:bookmarkStart w:id="43" w:name="_Toc6287"/>
      <w:bookmarkStart w:id="44" w:name="_Toc2656"/>
      <w:bookmarkStart w:id="45" w:name="_Toc3742"/>
      <w:bookmarkStart w:id="46" w:name="_Toc4140"/>
      <w:r>
        <w:rPr>
          <w:rFonts w:hint="eastAsia"/>
          <w:szCs w:val="21"/>
        </w:rPr>
        <w:t>术语和定义</w:t>
      </w:r>
      <w:bookmarkEnd w:id="41"/>
      <w:bookmarkEnd w:id="42"/>
      <w:bookmarkEnd w:id="43"/>
      <w:bookmarkEnd w:id="44"/>
      <w:bookmarkEnd w:id="45"/>
      <w:bookmarkEnd w:id="46"/>
    </w:p>
    <w:p w14:paraId="38BFEB20">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下列术语和定义适用于本文件。</w:t>
      </w:r>
    </w:p>
    <w:p w14:paraId="759B687C">
      <w:pPr>
        <w:pStyle w:val="108"/>
        <w:spacing w:before="120" w:after="120"/>
        <w:rPr>
          <w:rFonts w:hint="eastAsia" w:ascii="黑体" w:hAnsi="黑体" w:eastAsia="黑体" w:cs="黑体"/>
          <w:sz w:val="21"/>
          <w:lang w:val="en-US" w:eastAsia="zh-CN" w:bidi="ar-SA"/>
        </w:rPr>
      </w:pPr>
      <w:bookmarkStart w:id="47" w:name="_Toc31927"/>
      <w:bookmarkEnd w:id="47"/>
      <w:bookmarkStart w:id="48" w:name="_Toc12350"/>
      <w:bookmarkEnd w:id="48"/>
      <w:bookmarkStart w:id="49" w:name="_Toc13894"/>
      <w:bookmarkEnd w:id="49"/>
      <w:bookmarkStart w:id="50" w:name="_Toc1766"/>
      <w:bookmarkEnd w:id="50"/>
      <w:bookmarkStart w:id="51" w:name="_Toc30049"/>
      <w:bookmarkEnd w:id="51"/>
      <w:bookmarkStart w:id="52" w:name="_Toc18256"/>
      <w:bookmarkEnd w:id="52"/>
    </w:p>
    <w:p w14:paraId="72DEDEE4">
      <w:pPr>
        <w:bidi w:val="0"/>
        <w:ind w:firstLine="420" w:firstLineChars="200"/>
        <w:rPr>
          <w:rFonts w:hint="eastAsia" w:ascii="Times New Roman" w:hAnsi="Times New Roman" w:eastAsia="黑体"/>
          <w:sz w:val="21"/>
          <w:lang w:val="en-US" w:eastAsia="zh-CN"/>
        </w:rPr>
      </w:pPr>
      <w:r>
        <w:rPr>
          <w:rFonts w:hint="eastAsia" w:ascii="Times New Roman" w:hAnsi="Times New Roman" w:eastAsia="黑体"/>
          <w:sz w:val="21"/>
          <w:lang w:val="en-US" w:eastAsia="zh-CN"/>
        </w:rPr>
        <w:t>公称外径 nominal outside diameter</w:t>
      </w:r>
    </w:p>
    <w:p w14:paraId="4049E4AC">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管材设计标定外径，标识OD，单位毫米（mm），作为规格区分基准尺寸。</w:t>
      </w:r>
    </w:p>
    <w:p w14:paraId="4FB24962">
      <w:pPr>
        <w:pStyle w:val="108"/>
        <w:spacing w:before="120" w:after="120"/>
        <w:rPr>
          <w:rFonts w:hint="eastAsia" w:ascii="黑体" w:hAnsi="黑体" w:eastAsia="黑体" w:cs="黑体"/>
          <w:sz w:val="21"/>
          <w:lang w:val="en-US" w:eastAsia="zh-CN" w:bidi="ar-SA"/>
        </w:rPr>
      </w:pPr>
      <w:bookmarkStart w:id="53" w:name="_Toc17720"/>
      <w:bookmarkEnd w:id="53"/>
    </w:p>
    <w:p w14:paraId="5154737B">
      <w:pPr>
        <w:bidi w:val="0"/>
        <w:ind w:firstLine="420" w:firstLineChars="200"/>
        <w:rPr>
          <w:rFonts w:hint="eastAsia" w:ascii="Times New Roman" w:hAnsi="Times New Roman" w:eastAsia="黑体"/>
          <w:sz w:val="21"/>
          <w:lang w:val="en-US" w:eastAsia="zh-CN"/>
        </w:rPr>
      </w:pPr>
      <w:r>
        <w:rPr>
          <w:rFonts w:hint="eastAsia" w:ascii="Times New Roman" w:hAnsi="Times New Roman" w:eastAsia="黑体"/>
          <w:sz w:val="21"/>
          <w:lang w:val="en-US" w:eastAsia="zh-CN"/>
        </w:rPr>
        <w:t>环刚度 ring stiffness</w:t>
      </w:r>
    </w:p>
    <w:p w14:paraId="36F9A5BB">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表征管材抵抗外部径向土壤荷载变形能力的力学指标，单位千牛每平方米（kN/m²）。</w:t>
      </w:r>
    </w:p>
    <w:p w14:paraId="454C6DEE">
      <w:pPr>
        <w:pStyle w:val="108"/>
        <w:spacing w:before="120" w:after="120"/>
        <w:rPr>
          <w:rFonts w:hint="eastAsia" w:ascii="黑体" w:hAnsi="黑体" w:eastAsia="黑体" w:cs="黑体"/>
          <w:sz w:val="21"/>
          <w:lang w:val="en-US" w:eastAsia="zh-CN" w:bidi="ar-SA"/>
        </w:rPr>
      </w:pPr>
      <w:bookmarkStart w:id="54" w:name="_Toc12912"/>
      <w:bookmarkEnd w:id="54"/>
    </w:p>
    <w:p w14:paraId="01799390">
      <w:pPr>
        <w:bidi w:val="0"/>
        <w:ind w:firstLine="420" w:firstLineChars="200"/>
        <w:rPr>
          <w:rFonts w:hint="eastAsia" w:ascii="Times New Roman" w:hAnsi="Times New Roman" w:eastAsia="黑体"/>
          <w:sz w:val="21"/>
          <w:lang w:val="en-US" w:eastAsia="zh-CN"/>
        </w:rPr>
      </w:pPr>
      <w:r>
        <w:rPr>
          <w:rFonts w:hint="eastAsia" w:ascii="Times New Roman" w:hAnsi="Times New Roman" w:eastAsia="黑体"/>
          <w:sz w:val="21"/>
          <w:lang w:val="en-US" w:eastAsia="zh-CN"/>
        </w:rPr>
        <w:t>低温简支梁冲击强度 low-temperature charpy impact strength</w:t>
      </w:r>
    </w:p>
    <w:p w14:paraId="43BA505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管材在-20℃低温下抵抗脆性开裂的性能指标，单位千焦每平方米（kJ/m²）。</w:t>
      </w:r>
    </w:p>
    <w:p w14:paraId="053783AF">
      <w:pPr>
        <w:pStyle w:val="108"/>
        <w:spacing w:before="120" w:after="120"/>
        <w:rPr>
          <w:rFonts w:hint="eastAsia" w:ascii="黑体" w:hAnsi="黑体" w:eastAsia="黑体" w:cs="黑体"/>
          <w:sz w:val="21"/>
          <w:lang w:val="en-US" w:eastAsia="zh-CN" w:bidi="ar-SA"/>
        </w:rPr>
      </w:pPr>
      <w:bookmarkStart w:id="55" w:name="_Toc22834"/>
      <w:bookmarkEnd w:id="55"/>
    </w:p>
    <w:p w14:paraId="48C19461">
      <w:pPr>
        <w:bidi w:val="0"/>
        <w:ind w:firstLine="420" w:firstLineChars="200"/>
        <w:rPr>
          <w:rFonts w:hint="eastAsia" w:ascii="Times New Roman" w:hAnsi="Times New Roman" w:eastAsia="黑体"/>
          <w:sz w:val="21"/>
          <w:lang w:val="en-US" w:eastAsia="zh-CN"/>
        </w:rPr>
      </w:pPr>
      <w:r>
        <w:rPr>
          <w:rFonts w:hint="eastAsia" w:ascii="Times New Roman" w:hAnsi="Times New Roman" w:eastAsia="黑体"/>
          <w:sz w:val="21"/>
          <w:lang w:val="en-US" w:eastAsia="zh-CN"/>
        </w:rPr>
        <w:t>纵向回缩率 longitudinal reversion rate</w:t>
      </w:r>
    </w:p>
    <w:p w14:paraId="2439674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管材受热轴向收缩百分比，反映管材成型内应力水平。</w:t>
      </w:r>
    </w:p>
    <w:p w14:paraId="6B34B09A">
      <w:pPr>
        <w:pStyle w:val="107"/>
        <w:spacing w:before="240" w:after="240"/>
        <w:rPr>
          <w:rFonts w:hint="eastAsia"/>
          <w:szCs w:val="21"/>
          <w:lang w:val="en-US" w:eastAsia="zh-CN"/>
        </w:rPr>
      </w:pPr>
      <w:bookmarkStart w:id="56" w:name="_Toc9440"/>
      <w:r>
        <w:rPr>
          <w:rFonts w:hint="eastAsia"/>
          <w:szCs w:val="21"/>
          <w:lang w:val="en-US" w:eastAsia="zh-CN"/>
        </w:rPr>
        <w:t>产品分类及规格参数</w:t>
      </w:r>
      <w:bookmarkEnd w:id="56"/>
    </w:p>
    <w:p w14:paraId="1E1C1483">
      <w:pPr>
        <w:pStyle w:val="108"/>
        <w:spacing w:before="120" w:after="120"/>
        <w:rPr>
          <w:rFonts w:hint="eastAsia" w:ascii="黑体" w:hAnsi="黑体" w:eastAsia="黑体" w:cs="黑体"/>
          <w:sz w:val="21"/>
          <w:lang w:val="en-US" w:eastAsia="zh-CN" w:bidi="ar-SA"/>
        </w:rPr>
      </w:pPr>
      <w:bookmarkStart w:id="57" w:name="_Toc8296"/>
      <w:r>
        <w:rPr>
          <w:rFonts w:hint="eastAsia" w:ascii="黑体" w:hAnsi="黑体" w:eastAsia="黑体" w:cs="黑体"/>
          <w:sz w:val="21"/>
          <w:lang w:val="en-US" w:eastAsia="zh-CN" w:bidi="ar-SA"/>
        </w:rPr>
        <w:t>产品分类</w:t>
      </w:r>
      <w:bookmarkEnd w:id="57"/>
    </w:p>
    <w:p w14:paraId="33E234BC">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4.1.1 按敷设施工类型分类</w:t>
      </w:r>
    </w:p>
    <w:p w14:paraId="47472A18">
      <w:pPr>
        <w:bidi w:val="0"/>
        <w:spacing w:line="240"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分类如下：</w:t>
      </w:r>
    </w:p>
    <w:p w14:paraId="0CB7034A">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a）直埋型：适用于开槽开挖、浅层覆土常规敷设场景，仅可用于人行道、小区内部道路等轻荷载区域；</w:t>
      </w:r>
    </w:p>
    <w:p w14:paraId="13DCE86B">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b）非开挖型：适用于定向钻、水平顶管、拖拉牵引等不开挖施工场景，可用于主干道、河道穿越、铁路下穿等高荷载、不可开挖区域。</w:t>
      </w:r>
    </w:p>
    <w:p w14:paraId="580F6BEC">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4.1.2 按环刚度等级分类</w:t>
      </w:r>
    </w:p>
    <w:p w14:paraId="60914C5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管材按公称环刚度划分为三个强度等级：</w:t>
      </w:r>
    </w:p>
    <w:p w14:paraId="19418595">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a）SN12：轻载直埋场景选用；</w:t>
      </w:r>
    </w:p>
    <w:p w14:paraId="5773BE97">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b）SN16：通用直埋、一般非开挖工程宜选用；</w:t>
      </w:r>
    </w:p>
    <w:p w14:paraId="685DBDC6">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c）SN20：城市主干道、重载路基、长距离顶管工程应选用。</w:t>
      </w:r>
    </w:p>
    <w:p w14:paraId="4494A2E2">
      <w:pPr>
        <w:pStyle w:val="108"/>
        <w:spacing w:before="120" w:after="120"/>
        <w:rPr>
          <w:rFonts w:hint="eastAsia" w:ascii="黑体" w:hAnsi="黑体" w:eastAsia="黑体" w:cs="黑体"/>
          <w:sz w:val="21"/>
          <w:lang w:val="en-US" w:eastAsia="zh-CN" w:bidi="ar-SA"/>
        </w:rPr>
      </w:pPr>
      <w:bookmarkStart w:id="58" w:name="_Toc30411"/>
      <w:r>
        <w:rPr>
          <w:rFonts w:hint="eastAsia" w:ascii="黑体" w:hAnsi="黑体" w:eastAsia="黑体" w:cs="黑体"/>
          <w:sz w:val="21"/>
          <w:lang w:val="en-US" w:eastAsia="zh-CN" w:bidi="ar-SA"/>
        </w:rPr>
        <w:t>型号编制</w:t>
      </w:r>
      <w:bookmarkEnd w:id="58"/>
    </w:p>
    <w:p w14:paraId="3146D5C6">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型号结构为MPP-GX-环刚度等级-公称外径，其中MPP为改性聚丙烯管材代号；GX为高性能系列代号。</w:t>
      </w:r>
    </w:p>
    <w:p w14:paraId="546EF38C">
      <w:pPr>
        <w:bidi w:val="0"/>
        <w:spacing w:line="240" w:lineRule="auto"/>
        <w:ind w:firstLine="360" w:firstLineChars="200"/>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示例：</w:t>
      </w:r>
      <w:r>
        <w:rPr>
          <w:rFonts w:hint="eastAsia" w:ascii="宋体" w:hAnsi="宋体" w:eastAsia="宋体" w:cs="宋体"/>
          <w:sz w:val="18"/>
          <w:szCs w:val="18"/>
          <w:lang w:val="en-US" w:eastAsia="zh-CN"/>
        </w:rPr>
        <w:t>MPP-GX-SN16-160，代表公称外径160mm、环刚度16kN/m²高性能MPP电缆保护管。</w:t>
      </w:r>
    </w:p>
    <w:p w14:paraId="78511270">
      <w:pPr>
        <w:pStyle w:val="108"/>
        <w:spacing w:before="120" w:after="120"/>
        <w:rPr>
          <w:rFonts w:hint="eastAsia" w:ascii="黑体" w:hAnsi="黑体" w:eastAsia="黑体" w:cs="黑体"/>
          <w:sz w:val="21"/>
          <w:lang w:val="en-US" w:eastAsia="zh-CN" w:bidi="ar-SA"/>
        </w:rPr>
      </w:pPr>
      <w:bookmarkStart w:id="59" w:name="_Toc10910"/>
      <w:r>
        <w:rPr>
          <w:rFonts w:hint="eastAsia" w:ascii="黑体" w:hAnsi="黑体" w:eastAsia="黑体" w:cs="黑体"/>
          <w:sz w:val="21"/>
          <w:lang w:val="en-US" w:eastAsia="zh-CN" w:bidi="ar-SA"/>
        </w:rPr>
        <w:t>规格尺寸及允许偏差</w:t>
      </w:r>
      <w:bookmarkEnd w:id="59"/>
    </w:p>
    <w:p w14:paraId="06A1DD3C">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管材公称外径、壁厚、长度等尺寸应符合表1要求；供需双方协商，可定制非标定尺长度。</w:t>
      </w:r>
    </w:p>
    <w:p w14:paraId="606CA6FC">
      <w:pPr>
        <w:bidi w:val="0"/>
        <w:spacing w:line="240" w:lineRule="auto"/>
        <w:jc w:val="center"/>
        <w:rPr>
          <w:rFonts w:hint="eastAsia" w:ascii="黑体" w:hAnsi="黑体" w:eastAsia="黑体" w:cs="黑体"/>
          <w:lang w:val="en-US" w:eastAsia="zh-CN"/>
        </w:rPr>
      </w:pPr>
      <w:r>
        <w:rPr>
          <w:rFonts w:hint="eastAsia" w:ascii="黑体" w:hAnsi="黑体" w:eastAsia="黑体" w:cs="黑体"/>
          <w:lang w:val="en-US" w:eastAsia="zh-CN"/>
        </w:rPr>
        <w:t>表1 管材尺寸及允许偏差（单位为毫米）</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42"/>
        <w:gridCol w:w="742"/>
        <w:gridCol w:w="1256"/>
        <w:gridCol w:w="1256"/>
        <w:gridCol w:w="1256"/>
        <w:gridCol w:w="1257"/>
        <w:gridCol w:w="832"/>
        <w:gridCol w:w="833"/>
        <w:gridCol w:w="897"/>
      </w:tblGrid>
      <w:tr w14:paraId="7328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42" w:type="dxa"/>
            <w:shd w:val="clear" w:color="auto" w:fill="auto"/>
            <w:vAlign w:val="center"/>
          </w:tcPr>
          <w:p w14:paraId="41495684">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公称外径OD</w:t>
            </w:r>
          </w:p>
        </w:tc>
        <w:tc>
          <w:tcPr>
            <w:tcW w:w="742" w:type="dxa"/>
            <w:shd w:val="clear" w:color="auto" w:fill="auto"/>
            <w:vAlign w:val="center"/>
          </w:tcPr>
          <w:p w14:paraId="17C93DA9">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平均外径允许偏差</w:t>
            </w:r>
          </w:p>
        </w:tc>
        <w:tc>
          <w:tcPr>
            <w:tcW w:w="1256" w:type="dxa"/>
            <w:shd w:val="clear" w:color="auto" w:fill="auto"/>
            <w:vAlign w:val="center"/>
          </w:tcPr>
          <w:p w14:paraId="132D1B1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SN12标准壁厚</w:t>
            </w:r>
          </w:p>
        </w:tc>
        <w:tc>
          <w:tcPr>
            <w:tcW w:w="1256" w:type="dxa"/>
            <w:shd w:val="clear" w:color="auto" w:fill="auto"/>
            <w:vAlign w:val="center"/>
          </w:tcPr>
          <w:p w14:paraId="06557167">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SN16标准壁厚</w:t>
            </w:r>
          </w:p>
        </w:tc>
        <w:tc>
          <w:tcPr>
            <w:tcW w:w="1256" w:type="dxa"/>
            <w:shd w:val="clear" w:color="auto" w:fill="auto"/>
            <w:vAlign w:val="center"/>
          </w:tcPr>
          <w:p w14:paraId="3090061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SN20标准壁厚</w:t>
            </w:r>
          </w:p>
        </w:tc>
        <w:tc>
          <w:tcPr>
            <w:tcW w:w="1257" w:type="dxa"/>
            <w:shd w:val="clear" w:color="auto" w:fill="auto"/>
            <w:vAlign w:val="center"/>
          </w:tcPr>
          <w:p w14:paraId="134F030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壁厚允许偏差</w:t>
            </w:r>
          </w:p>
        </w:tc>
        <w:tc>
          <w:tcPr>
            <w:tcW w:w="832" w:type="dxa"/>
            <w:shd w:val="clear" w:color="auto" w:fill="auto"/>
            <w:vAlign w:val="center"/>
          </w:tcPr>
          <w:p w14:paraId="0720D23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常规定尺</w:t>
            </w:r>
          </w:p>
        </w:tc>
        <w:tc>
          <w:tcPr>
            <w:tcW w:w="833" w:type="dxa"/>
            <w:shd w:val="clear" w:color="auto" w:fill="auto"/>
            <w:vAlign w:val="center"/>
          </w:tcPr>
          <w:p w14:paraId="62B118F0">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长度偏差</w:t>
            </w:r>
          </w:p>
        </w:tc>
        <w:tc>
          <w:tcPr>
            <w:tcW w:w="897" w:type="dxa"/>
            <w:shd w:val="clear" w:color="auto" w:fill="auto"/>
            <w:vAlign w:val="center"/>
          </w:tcPr>
          <w:p w14:paraId="44BE8D6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端面最大斜度</w:t>
            </w:r>
          </w:p>
        </w:tc>
      </w:tr>
      <w:tr w14:paraId="311C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7A967F01">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110</w:t>
            </w:r>
          </w:p>
        </w:tc>
        <w:tc>
          <w:tcPr>
            <w:tcW w:w="742" w:type="dxa"/>
            <w:shd w:val="clear" w:color="auto" w:fill="auto"/>
            <w:vAlign w:val="center"/>
          </w:tcPr>
          <w:p w14:paraId="410079D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±0.6</w:t>
            </w:r>
          </w:p>
        </w:tc>
        <w:tc>
          <w:tcPr>
            <w:tcW w:w="1256" w:type="dxa"/>
            <w:shd w:val="clear" w:color="auto" w:fill="auto"/>
            <w:vAlign w:val="center"/>
          </w:tcPr>
          <w:p w14:paraId="16100BE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8.0</w:t>
            </w:r>
          </w:p>
        </w:tc>
        <w:tc>
          <w:tcPr>
            <w:tcW w:w="1256" w:type="dxa"/>
            <w:shd w:val="clear" w:color="auto" w:fill="auto"/>
            <w:vAlign w:val="center"/>
          </w:tcPr>
          <w:p w14:paraId="4CBB1293">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9.2</w:t>
            </w:r>
          </w:p>
        </w:tc>
        <w:tc>
          <w:tcPr>
            <w:tcW w:w="1256" w:type="dxa"/>
            <w:shd w:val="clear" w:color="auto" w:fill="auto"/>
            <w:vAlign w:val="center"/>
          </w:tcPr>
          <w:p w14:paraId="00EC87A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10.5</w:t>
            </w:r>
          </w:p>
        </w:tc>
        <w:tc>
          <w:tcPr>
            <w:tcW w:w="1257" w:type="dxa"/>
            <w:shd w:val="clear" w:color="auto" w:fill="auto"/>
            <w:vAlign w:val="center"/>
          </w:tcPr>
          <w:p w14:paraId="45E7687D">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+0.8</w:t>
            </w:r>
          </w:p>
        </w:tc>
        <w:tc>
          <w:tcPr>
            <w:tcW w:w="832" w:type="dxa"/>
            <w:shd w:val="clear" w:color="auto" w:fill="auto"/>
            <w:vAlign w:val="center"/>
          </w:tcPr>
          <w:p w14:paraId="15913AF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5EDA378B">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4F023D89">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0.55</w:t>
            </w:r>
          </w:p>
        </w:tc>
      </w:tr>
      <w:tr w14:paraId="1D5C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298A8828">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160</w:t>
            </w:r>
          </w:p>
        </w:tc>
        <w:tc>
          <w:tcPr>
            <w:tcW w:w="742" w:type="dxa"/>
            <w:shd w:val="clear" w:color="auto" w:fill="auto"/>
            <w:vAlign w:val="center"/>
          </w:tcPr>
          <w:p w14:paraId="0A412D6B">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±0.8</w:t>
            </w:r>
          </w:p>
        </w:tc>
        <w:tc>
          <w:tcPr>
            <w:tcW w:w="1256" w:type="dxa"/>
            <w:shd w:val="clear" w:color="auto" w:fill="auto"/>
            <w:vAlign w:val="center"/>
          </w:tcPr>
          <w:p w14:paraId="6990088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10.3</w:t>
            </w:r>
          </w:p>
        </w:tc>
        <w:tc>
          <w:tcPr>
            <w:tcW w:w="1256" w:type="dxa"/>
            <w:shd w:val="clear" w:color="auto" w:fill="auto"/>
            <w:vAlign w:val="center"/>
          </w:tcPr>
          <w:p w14:paraId="21E2BD63">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11.8</w:t>
            </w:r>
          </w:p>
        </w:tc>
        <w:tc>
          <w:tcPr>
            <w:tcW w:w="1256" w:type="dxa"/>
            <w:shd w:val="clear" w:color="auto" w:fill="auto"/>
            <w:vAlign w:val="center"/>
          </w:tcPr>
          <w:p w14:paraId="6A394B4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13.5</w:t>
            </w:r>
          </w:p>
        </w:tc>
        <w:tc>
          <w:tcPr>
            <w:tcW w:w="1257" w:type="dxa"/>
            <w:shd w:val="clear" w:color="auto" w:fill="auto"/>
            <w:vAlign w:val="center"/>
          </w:tcPr>
          <w:p w14:paraId="471045E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+1.0</w:t>
            </w:r>
          </w:p>
        </w:tc>
        <w:tc>
          <w:tcPr>
            <w:tcW w:w="832" w:type="dxa"/>
            <w:shd w:val="clear" w:color="auto" w:fill="auto"/>
            <w:vAlign w:val="center"/>
          </w:tcPr>
          <w:p w14:paraId="2E0EFE2A">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336D20D1">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100D0B3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0.80</w:t>
            </w:r>
          </w:p>
        </w:tc>
      </w:tr>
      <w:tr w14:paraId="2CB2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4BE5D6F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200</w:t>
            </w:r>
          </w:p>
        </w:tc>
        <w:tc>
          <w:tcPr>
            <w:tcW w:w="742" w:type="dxa"/>
            <w:shd w:val="clear" w:color="auto" w:fill="auto"/>
            <w:vAlign w:val="center"/>
          </w:tcPr>
          <w:p w14:paraId="084F60B9">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±1.0</w:t>
            </w:r>
          </w:p>
        </w:tc>
        <w:tc>
          <w:tcPr>
            <w:tcW w:w="1256" w:type="dxa"/>
            <w:shd w:val="clear" w:color="auto" w:fill="auto"/>
            <w:vAlign w:val="center"/>
          </w:tcPr>
          <w:p w14:paraId="3AC53D1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12.8</w:t>
            </w:r>
          </w:p>
        </w:tc>
        <w:tc>
          <w:tcPr>
            <w:tcW w:w="1256" w:type="dxa"/>
            <w:shd w:val="clear" w:color="auto" w:fill="auto"/>
            <w:vAlign w:val="center"/>
          </w:tcPr>
          <w:p w14:paraId="0F607BD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14.7</w:t>
            </w:r>
          </w:p>
        </w:tc>
        <w:tc>
          <w:tcPr>
            <w:tcW w:w="1256" w:type="dxa"/>
            <w:shd w:val="clear" w:color="auto" w:fill="auto"/>
            <w:vAlign w:val="center"/>
          </w:tcPr>
          <w:p w14:paraId="0A82E6A5">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16.8</w:t>
            </w:r>
          </w:p>
        </w:tc>
        <w:tc>
          <w:tcPr>
            <w:tcW w:w="1257" w:type="dxa"/>
            <w:shd w:val="clear" w:color="auto" w:fill="auto"/>
            <w:vAlign w:val="center"/>
          </w:tcPr>
          <w:p w14:paraId="12883A47">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+1.2</w:t>
            </w:r>
          </w:p>
        </w:tc>
        <w:tc>
          <w:tcPr>
            <w:tcW w:w="832" w:type="dxa"/>
            <w:shd w:val="clear" w:color="auto" w:fill="auto"/>
            <w:vAlign w:val="center"/>
          </w:tcPr>
          <w:p w14:paraId="6C3A9BE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77442064">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27F8049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1.00</w:t>
            </w:r>
          </w:p>
        </w:tc>
      </w:tr>
      <w:tr w14:paraId="41C7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74395F1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225</w:t>
            </w:r>
          </w:p>
        </w:tc>
        <w:tc>
          <w:tcPr>
            <w:tcW w:w="742" w:type="dxa"/>
            <w:shd w:val="clear" w:color="auto" w:fill="auto"/>
            <w:vAlign w:val="center"/>
          </w:tcPr>
          <w:p w14:paraId="5FC7A790">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±1.1</w:t>
            </w:r>
          </w:p>
        </w:tc>
        <w:tc>
          <w:tcPr>
            <w:tcW w:w="1256" w:type="dxa"/>
            <w:shd w:val="clear" w:color="auto" w:fill="auto"/>
            <w:vAlign w:val="center"/>
          </w:tcPr>
          <w:p w14:paraId="25FD9497">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14.4</w:t>
            </w:r>
          </w:p>
        </w:tc>
        <w:tc>
          <w:tcPr>
            <w:tcW w:w="1256" w:type="dxa"/>
            <w:shd w:val="clear" w:color="auto" w:fill="auto"/>
            <w:vAlign w:val="center"/>
          </w:tcPr>
          <w:p w14:paraId="4C9E1F8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16.5</w:t>
            </w:r>
          </w:p>
        </w:tc>
        <w:tc>
          <w:tcPr>
            <w:tcW w:w="1256" w:type="dxa"/>
            <w:shd w:val="clear" w:color="auto" w:fill="auto"/>
            <w:vAlign w:val="center"/>
          </w:tcPr>
          <w:p w14:paraId="3DDD6FCA">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18.8</w:t>
            </w:r>
          </w:p>
        </w:tc>
        <w:tc>
          <w:tcPr>
            <w:tcW w:w="1257" w:type="dxa"/>
            <w:shd w:val="clear" w:color="auto" w:fill="auto"/>
            <w:vAlign w:val="center"/>
          </w:tcPr>
          <w:p w14:paraId="53C3E97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+1.3</w:t>
            </w:r>
          </w:p>
        </w:tc>
        <w:tc>
          <w:tcPr>
            <w:tcW w:w="832" w:type="dxa"/>
            <w:shd w:val="clear" w:color="auto" w:fill="auto"/>
            <w:vAlign w:val="center"/>
          </w:tcPr>
          <w:p w14:paraId="4EC9088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168FB290">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4595B249">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1.13</w:t>
            </w:r>
          </w:p>
        </w:tc>
      </w:tr>
      <w:tr w14:paraId="4715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4FC70E88">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250</w:t>
            </w:r>
          </w:p>
        </w:tc>
        <w:tc>
          <w:tcPr>
            <w:tcW w:w="742" w:type="dxa"/>
            <w:shd w:val="clear" w:color="auto" w:fill="auto"/>
            <w:vAlign w:val="center"/>
          </w:tcPr>
          <w:p w14:paraId="1EDC6528">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±1.2</w:t>
            </w:r>
          </w:p>
        </w:tc>
        <w:tc>
          <w:tcPr>
            <w:tcW w:w="1256" w:type="dxa"/>
            <w:shd w:val="clear" w:color="auto" w:fill="auto"/>
            <w:vAlign w:val="center"/>
          </w:tcPr>
          <w:p w14:paraId="44E1AF8A">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16.0</w:t>
            </w:r>
          </w:p>
        </w:tc>
        <w:tc>
          <w:tcPr>
            <w:tcW w:w="1256" w:type="dxa"/>
            <w:shd w:val="clear" w:color="auto" w:fill="auto"/>
            <w:vAlign w:val="center"/>
          </w:tcPr>
          <w:p w14:paraId="53AF94D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18.3</w:t>
            </w:r>
          </w:p>
        </w:tc>
        <w:tc>
          <w:tcPr>
            <w:tcW w:w="1256" w:type="dxa"/>
            <w:shd w:val="clear" w:color="auto" w:fill="auto"/>
            <w:vAlign w:val="center"/>
          </w:tcPr>
          <w:p w14:paraId="5474619F">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20.9</w:t>
            </w:r>
          </w:p>
        </w:tc>
        <w:tc>
          <w:tcPr>
            <w:tcW w:w="1257" w:type="dxa"/>
            <w:shd w:val="clear" w:color="auto" w:fill="auto"/>
            <w:vAlign w:val="center"/>
          </w:tcPr>
          <w:p w14:paraId="487C817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+1.5</w:t>
            </w:r>
          </w:p>
        </w:tc>
        <w:tc>
          <w:tcPr>
            <w:tcW w:w="832" w:type="dxa"/>
            <w:shd w:val="clear" w:color="auto" w:fill="auto"/>
            <w:vAlign w:val="center"/>
          </w:tcPr>
          <w:p w14:paraId="74CE1FF1">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5C1E4EF3">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0472D0BA">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1.25</w:t>
            </w:r>
          </w:p>
        </w:tc>
      </w:tr>
      <w:tr w14:paraId="6DC7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42" w:type="dxa"/>
            <w:shd w:val="clear" w:color="auto" w:fill="auto"/>
            <w:vAlign w:val="center"/>
          </w:tcPr>
          <w:p w14:paraId="62BE0BB8">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315</w:t>
            </w:r>
          </w:p>
        </w:tc>
        <w:tc>
          <w:tcPr>
            <w:tcW w:w="742" w:type="dxa"/>
            <w:shd w:val="clear" w:color="auto" w:fill="auto"/>
            <w:vAlign w:val="center"/>
          </w:tcPr>
          <w:p w14:paraId="1E7AF8E9">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±1.5</w:t>
            </w:r>
          </w:p>
        </w:tc>
        <w:tc>
          <w:tcPr>
            <w:tcW w:w="1256" w:type="dxa"/>
            <w:shd w:val="clear" w:color="auto" w:fill="auto"/>
            <w:vAlign w:val="center"/>
          </w:tcPr>
          <w:p w14:paraId="12B99D2B">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20.2</w:t>
            </w:r>
          </w:p>
        </w:tc>
        <w:tc>
          <w:tcPr>
            <w:tcW w:w="1256" w:type="dxa"/>
            <w:shd w:val="clear" w:color="auto" w:fill="auto"/>
            <w:vAlign w:val="center"/>
          </w:tcPr>
          <w:p w14:paraId="7B6E634C">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23.1</w:t>
            </w:r>
          </w:p>
        </w:tc>
        <w:tc>
          <w:tcPr>
            <w:tcW w:w="1256" w:type="dxa"/>
            <w:shd w:val="clear" w:color="auto" w:fill="auto"/>
            <w:vAlign w:val="center"/>
          </w:tcPr>
          <w:p w14:paraId="0E4DE2EB">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26.4</w:t>
            </w:r>
          </w:p>
        </w:tc>
        <w:tc>
          <w:tcPr>
            <w:tcW w:w="1257" w:type="dxa"/>
            <w:shd w:val="clear" w:color="auto" w:fill="auto"/>
            <w:vAlign w:val="center"/>
          </w:tcPr>
          <w:p w14:paraId="50AB39A6">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+1.8</w:t>
            </w:r>
          </w:p>
        </w:tc>
        <w:tc>
          <w:tcPr>
            <w:tcW w:w="832" w:type="dxa"/>
            <w:shd w:val="clear" w:color="auto" w:fill="auto"/>
            <w:vAlign w:val="center"/>
          </w:tcPr>
          <w:p w14:paraId="3ED4D0EE">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6000、9000</w:t>
            </w:r>
          </w:p>
        </w:tc>
        <w:tc>
          <w:tcPr>
            <w:tcW w:w="833" w:type="dxa"/>
            <w:shd w:val="clear" w:color="auto" w:fill="auto"/>
            <w:vAlign w:val="center"/>
          </w:tcPr>
          <w:p w14:paraId="090A51EB">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+200</w:t>
            </w:r>
          </w:p>
        </w:tc>
        <w:tc>
          <w:tcPr>
            <w:tcW w:w="897" w:type="dxa"/>
            <w:shd w:val="clear" w:color="auto" w:fill="auto"/>
            <w:vAlign w:val="center"/>
          </w:tcPr>
          <w:p w14:paraId="2744828D">
            <w:pPr>
              <w:keepNext w:val="0"/>
              <w:keepLines w:val="0"/>
              <w:widowControl/>
              <w:suppressLineNumbers w:val="0"/>
              <w:spacing w:line="240" w:lineRule="auto"/>
              <w:jc w:val="center"/>
              <w:rPr>
                <w:rFonts w:hint="eastAsia" w:ascii="宋体" w:hAnsi="宋体" w:eastAsia="宋体" w:cs="宋体"/>
                <w:b w:val="0"/>
                <w:bCs w:val="0"/>
                <w:sz w:val="18"/>
                <w:szCs w:val="18"/>
              </w:rPr>
            </w:pPr>
            <w:r>
              <w:rPr>
                <w:rFonts w:hint="eastAsia" w:ascii="宋体" w:hAnsi="宋体" w:eastAsia="宋体" w:cs="宋体"/>
                <w:b w:val="0"/>
                <w:bCs w:val="0"/>
                <w:kern w:val="0"/>
                <w:sz w:val="18"/>
                <w:szCs w:val="18"/>
                <w:lang w:val="en-US" w:eastAsia="zh-CN" w:bidi="ar"/>
              </w:rPr>
              <w:t>1.58</w:t>
            </w:r>
          </w:p>
        </w:tc>
      </w:tr>
      <w:tr w14:paraId="09FD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9071" w:type="dxa"/>
            <w:gridSpan w:val="9"/>
            <w:shd w:val="clear" w:color="auto" w:fill="auto"/>
            <w:vAlign w:val="center"/>
          </w:tcPr>
          <w:p w14:paraId="06D5A21C">
            <w:pPr>
              <w:bidi w:val="0"/>
              <w:spacing w:line="240" w:lineRule="auto"/>
              <w:ind w:firstLine="360" w:firstLineChars="200"/>
              <w:rPr>
                <w:rFonts w:hint="eastAsia" w:ascii="宋体" w:hAnsi="宋体" w:eastAsia="宋体" w:cs="宋体"/>
                <w:b w:val="0"/>
                <w:bCs w:val="0"/>
                <w:kern w:val="0"/>
                <w:sz w:val="18"/>
                <w:szCs w:val="18"/>
                <w:lang w:val="en-US" w:eastAsia="zh-CN" w:bidi="ar"/>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管材端面应垂直于轴线，端面斜度不应大于公称外径的0.005倍。</w:t>
            </w:r>
          </w:p>
        </w:tc>
      </w:tr>
    </w:tbl>
    <w:p w14:paraId="4EB14DA4">
      <w:pPr>
        <w:pStyle w:val="107"/>
        <w:spacing w:before="240" w:after="240"/>
        <w:rPr>
          <w:rFonts w:hint="eastAsia"/>
          <w:szCs w:val="21"/>
          <w:lang w:val="en-US" w:eastAsia="zh-CN"/>
        </w:rPr>
      </w:pPr>
      <w:bookmarkStart w:id="60" w:name="_Toc29790"/>
      <w:r>
        <w:rPr>
          <w:rFonts w:hint="eastAsia"/>
          <w:szCs w:val="21"/>
          <w:lang w:val="en-US" w:eastAsia="zh-CN"/>
        </w:rPr>
        <w:t>技术要求</w:t>
      </w:r>
      <w:bookmarkEnd w:id="60"/>
    </w:p>
    <w:p w14:paraId="5D9D1A6A">
      <w:pPr>
        <w:pStyle w:val="108"/>
        <w:spacing w:before="120" w:after="120"/>
        <w:rPr>
          <w:rFonts w:hint="eastAsia" w:ascii="黑体" w:hAnsi="黑体" w:eastAsia="黑体" w:cs="黑体"/>
          <w:sz w:val="21"/>
          <w:lang w:val="en-US" w:eastAsia="zh-CN" w:bidi="ar-SA"/>
        </w:rPr>
      </w:pPr>
      <w:bookmarkStart w:id="61" w:name="_Toc2275"/>
      <w:r>
        <w:rPr>
          <w:rFonts w:hint="eastAsia" w:ascii="黑体" w:hAnsi="黑体" w:eastAsia="黑体" w:cs="黑体"/>
          <w:sz w:val="21"/>
          <w:lang w:val="en-US" w:eastAsia="zh-CN" w:bidi="ar-SA"/>
        </w:rPr>
        <w:t>原料性能</w:t>
      </w:r>
      <w:bookmarkEnd w:id="61"/>
    </w:p>
    <w:p w14:paraId="7DF8B9D6">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5.1.1 基体树脂</w:t>
      </w:r>
    </w:p>
    <w:p w14:paraId="31F4E693">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生产应采用嵌段共聚聚丙烯；熔体流动速率（230℃/2.16kg）宜控制在0.3g/10min～1.2g/10min；成品生产不应掺入回收废旧塑料。</w:t>
      </w:r>
    </w:p>
    <w:p w14:paraId="0AEF5D71">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5.1.2 改性助剂体系</w:t>
      </w:r>
    </w:p>
    <w:p w14:paraId="6B3101B5">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配方应复配受阻酚主抗氧、亚磷酸酯辅抗氧、苯并三氮唑紫外吸收剂、聚烯烃弹性体增韧剂；超细碳酸钙填料添加质量分数不应大于12%。</w:t>
      </w:r>
    </w:p>
    <w:p w14:paraId="3DA18B65">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5.1.3 混合料密度</w:t>
      </w:r>
    </w:p>
    <w:p w14:paraId="7982CE19">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管材混合料密度应控制在0.910g/cm³～0.940g/cm³。</w:t>
      </w:r>
    </w:p>
    <w:p w14:paraId="2A7A5B9D">
      <w:pPr>
        <w:pStyle w:val="108"/>
        <w:spacing w:before="120" w:after="120"/>
        <w:rPr>
          <w:rFonts w:hint="eastAsia" w:ascii="黑体" w:hAnsi="黑体" w:eastAsia="黑体" w:cs="黑体"/>
          <w:sz w:val="21"/>
          <w:lang w:val="en-US" w:eastAsia="zh-CN" w:bidi="ar-SA"/>
        </w:rPr>
      </w:pPr>
      <w:bookmarkStart w:id="62" w:name="_Toc20922"/>
      <w:r>
        <w:rPr>
          <w:rFonts w:hint="eastAsia" w:ascii="黑体" w:hAnsi="黑体" w:eastAsia="黑体" w:cs="黑体"/>
          <w:sz w:val="21"/>
          <w:lang w:val="en-US" w:eastAsia="zh-CN" w:bidi="ar-SA"/>
        </w:rPr>
        <w:t>外观质量</w:t>
      </w:r>
      <w:bookmarkEnd w:id="62"/>
    </w:p>
    <w:p w14:paraId="107B9015">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5.2.1 内外表面</w:t>
      </w:r>
    </w:p>
    <w:p w14:paraId="15994369">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管材内外壁应光滑平整，无气泡、裂纹、凹陷、硬质杂质、深度划伤；管口应无毛刺、飞边。</w:t>
      </w:r>
    </w:p>
    <w:p w14:paraId="636B42D5">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5.2.2 色泽</w:t>
      </w:r>
    </w:p>
    <w:p w14:paraId="02920E1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标准产品宜为橘红色；有特殊配色需求时，供需双方可合同约定其他颜色，整体色泽应均匀。</w:t>
      </w:r>
    </w:p>
    <w:p w14:paraId="1D992E66">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5.2.3 直线度</w:t>
      </w:r>
    </w:p>
    <w:p w14:paraId="648FEE75">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管材无肉眼可见扭曲，每米直线度偏差不应大于3mm。</w:t>
      </w:r>
    </w:p>
    <w:p w14:paraId="7E9DD445">
      <w:pPr>
        <w:pStyle w:val="108"/>
        <w:spacing w:before="120" w:after="120"/>
        <w:rPr>
          <w:rFonts w:hint="eastAsia" w:ascii="黑体" w:hAnsi="黑体" w:eastAsia="黑体" w:cs="黑体"/>
          <w:sz w:val="21"/>
          <w:lang w:val="en-US" w:eastAsia="zh-CN" w:bidi="ar-SA"/>
        </w:rPr>
      </w:pPr>
      <w:bookmarkStart w:id="63" w:name="_Toc4337"/>
      <w:r>
        <w:rPr>
          <w:rFonts w:hint="eastAsia" w:ascii="黑体" w:hAnsi="黑体" w:eastAsia="黑体" w:cs="黑体"/>
          <w:sz w:val="21"/>
          <w:lang w:val="en-US" w:eastAsia="zh-CN" w:bidi="ar-SA"/>
        </w:rPr>
        <w:t>尺寸要求</w:t>
      </w:r>
      <w:bookmarkEnd w:id="63"/>
    </w:p>
    <w:p w14:paraId="4B8E899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管材平均外径、壁厚、定尺长度、端面斜度应符合4.3表1规定。</w:t>
      </w:r>
    </w:p>
    <w:p w14:paraId="3324A713">
      <w:pPr>
        <w:pStyle w:val="108"/>
        <w:spacing w:before="120" w:after="120"/>
        <w:rPr>
          <w:rFonts w:hint="eastAsia" w:ascii="黑体" w:hAnsi="黑体" w:eastAsia="黑体" w:cs="黑体"/>
          <w:sz w:val="21"/>
          <w:lang w:val="en-US" w:eastAsia="zh-CN" w:bidi="ar-SA"/>
        </w:rPr>
      </w:pPr>
      <w:bookmarkStart w:id="64" w:name="_Toc16199"/>
      <w:r>
        <w:rPr>
          <w:rFonts w:hint="eastAsia" w:ascii="黑体" w:hAnsi="黑体" w:eastAsia="黑体" w:cs="黑体"/>
          <w:sz w:val="21"/>
          <w:lang w:val="en-US" w:eastAsia="zh-CN" w:bidi="ar-SA"/>
        </w:rPr>
        <w:t>物理力学性能</w:t>
      </w:r>
      <w:bookmarkEnd w:id="64"/>
    </w:p>
    <w:p w14:paraId="2FA8F44A">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管材各项力学指标应满足表2强制要求。</w:t>
      </w:r>
    </w:p>
    <w:p w14:paraId="44ABF191">
      <w:pPr>
        <w:bidi w:val="0"/>
        <w:spacing w:line="240" w:lineRule="auto"/>
        <w:jc w:val="center"/>
        <w:rPr>
          <w:rFonts w:hint="eastAsia" w:ascii="黑体" w:hAnsi="黑体" w:eastAsia="黑体" w:cs="黑体"/>
          <w:lang w:val="en-US" w:eastAsia="zh-CN"/>
        </w:rPr>
      </w:pPr>
      <w:r>
        <w:rPr>
          <w:rFonts w:hint="eastAsia" w:ascii="黑体" w:hAnsi="黑体" w:eastAsia="黑体" w:cs="黑体"/>
          <w:lang w:val="en-US" w:eastAsia="zh-CN"/>
        </w:rPr>
        <w:t>表2 物理力学性能指标</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04"/>
        <w:gridCol w:w="4033"/>
        <w:gridCol w:w="4034"/>
      </w:tblGrid>
      <w:tr w14:paraId="1E7C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tblHeader/>
          <w:jc w:val="center"/>
        </w:trPr>
        <w:tc>
          <w:tcPr>
            <w:tcW w:w="1004" w:type="dxa"/>
            <w:shd w:val="clear" w:color="auto" w:fill="auto"/>
            <w:vAlign w:val="center"/>
          </w:tcPr>
          <w:p w14:paraId="397CD1CA">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序号</w:t>
            </w:r>
          </w:p>
        </w:tc>
        <w:tc>
          <w:tcPr>
            <w:tcW w:w="4033" w:type="dxa"/>
            <w:shd w:val="clear" w:color="auto" w:fill="auto"/>
            <w:vAlign w:val="center"/>
          </w:tcPr>
          <w:p w14:paraId="157C290A">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检测项目</w:t>
            </w:r>
          </w:p>
        </w:tc>
        <w:tc>
          <w:tcPr>
            <w:tcW w:w="4034" w:type="dxa"/>
            <w:shd w:val="clear" w:color="auto" w:fill="auto"/>
            <w:vAlign w:val="center"/>
          </w:tcPr>
          <w:p w14:paraId="3F53FA1F">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技术要求</w:t>
            </w:r>
          </w:p>
        </w:tc>
      </w:tr>
      <w:tr w14:paraId="3178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709BB362">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1</w:t>
            </w:r>
          </w:p>
        </w:tc>
        <w:tc>
          <w:tcPr>
            <w:tcW w:w="4033" w:type="dxa"/>
            <w:shd w:val="clear" w:color="auto" w:fill="auto"/>
            <w:vAlign w:val="center"/>
          </w:tcPr>
          <w:p w14:paraId="3129AD88">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维卡软化温度</w:t>
            </w:r>
          </w:p>
        </w:tc>
        <w:tc>
          <w:tcPr>
            <w:tcW w:w="4034" w:type="dxa"/>
            <w:shd w:val="clear" w:color="auto" w:fill="auto"/>
            <w:vAlign w:val="center"/>
          </w:tcPr>
          <w:p w14:paraId="0C204314">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≥145℃</w:t>
            </w:r>
          </w:p>
        </w:tc>
      </w:tr>
      <w:tr w14:paraId="669E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324A702E">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2</w:t>
            </w:r>
          </w:p>
        </w:tc>
        <w:tc>
          <w:tcPr>
            <w:tcW w:w="4033" w:type="dxa"/>
            <w:shd w:val="clear" w:color="auto" w:fill="auto"/>
            <w:vAlign w:val="center"/>
          </w:tcPr>
          <w:p w14:paraId="0F85596C">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23℃简支梁冲击强度</w:t>
            </w:r>
          </w:p>
        </w:tc>
        <w:tc>
          <w:tcPr>
            <w:tcW w:w="4034" w:type="dxa"/>
            <w:shd w:val="clear" w:color="auto" w:fill="auto"/>
            <w:vAlign w:val="center"/>
          </w:tcPr>
          <w:p w14:paraId="64E42A8C">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≥45kJ/m²</w:t>
            </w:r>
          </w:p>
        </w:tc>
      </w:tr>
      <w:tr w14:paraId="01B8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4F16367E">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3</w:t>
            </w:r>
          </w:p>
        </w:tc>
        <w:tc>
          <w:tcPr>
            <w:tcW w:w="4033" w:type="dxa"/>
            <w:shd w:val="clear" w:color="auto" w:fill="auto"/>
            <w:vAlign w:val="center"/>
          </w:tcPr>
          <w:p w14:paraId="3AF536A2">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-20℃低温简支梁冲击强度</w:t>
            </w:r>
          </w:p>
        </w:tc>
        <w:tc>
          <w:tcPr>
            <w:tcW w:w="4034" w:type="dxa"/>
            <w:shd w:val="clear" w:color="auto" w:fill="auto"/>
            <w:vAlign w:val="center"/>
          </w:tcPr>
          <w:p w14:paraId="6FB0E629">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≥28kJ/m²</w:t>
            </w:r>
          </w:p>
        </w:tc>
      </w:tr>
      <w:tr w14:paraId="0D1E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vMerge w:val="restart"/>
            <w:shd w:val="clear" w:color="auto" w:fill="auto"/>
            <w:vAlign w:val="center"/>
          </w:tcPr>
          <w:p w14:paraId="541DD71F">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4</w:t>
            </w:r>
          </w:p>
        </w:tc>
        <w:tc>
          <w:tcPr>
            <w:tcW w:w="4033" w:type="dxa"/>
            <w:vMerge w:val="restart"/>
            <w:shd w:val="clear" w:color="auto" w:fill="auto"/>
            <w:vAlign w:val="center"/>
          </w:tcPr>
          <w:p w14:paraId="00D786B6">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环刚度</w:t>
            </w:r>
          </w:p>
        </w:tc>
        <w:tc>
          <w:tcPr>
            <w:tcW w:w="4034" w:type="dxa"/>
            <w:shd w:val="clear" w:color="auto" w:fill="auto"/>
            <w:vAlign w:val="center"/>
          </w:tcPr>
          <w:p w14:paraId="56CD5BF3">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SN12≥12kN/m²</w:t>
            </w:r>
          </w:p>
        </w:tc>
      </w:tr>
      <w:tr w14:paraId="0C9C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4" w:type="dxa"/>
            <w:vMerge w:val="continue"/>
            <w:shd w:val="clear" w:color="auto" w:fill="auto"/>
            <w:vAlign w:val="center"/>
          </w:tcPr>
          <w:p w14:paraId="1D05404E">
            <w:pPr>
              <w:keepNext w:val="0"/>
              <w:keepLines w:val="0"/>
              <w:widowControl/>
              <w:suppressLineNumbers w:val="0"/>
              <w:spacing w:line="240" w:lineRule="auto"/>
              <w:jc w:val="center"/>
            </w:pPr>
          </w:p>
        </w:tc>
        <w:tc>
          <w:tcPr>
            <w:tcW w:w="4033" w:type="dxa"/>
            <w:vMerge w:val="continue"/>
            <w:shd w:val="clear" w:color="auto" w:fill="auto"/>
            <w:vAlign w:val="center"/>
          </w:tcPr>
          <w:p w14:paraId="55522F82">
            <w:pPr>
              <w:keepNext w:val="0"/>
              <w:keepLines w:val="0"/>
              <w:widowControl/>
              <w:suppressLineNumbers w:val="0"/>
              <w:spacing w:line="240" w:lineRule="auto"/>
              <w:jc w:val="center"/>
            </w:pPr>
          </w:p>
        </w:tc>
        <w:tc>
          <w:tcPr>
            <w:tcW w:w="4034" w:type="dxa"/>
            <w:shd w:val="clear" w:color="auto" w:fill="auto"/>
            <w:vAlign w:val="center"/>
          </w:tcPr>
          <w:p w14:paraId="041A490F">
            <w:pPr>
              <w:keepNext w:val="0"/>
              <w:keepLines w:val="0"/>
              <w:widowControl/>
              <w:suppressLineNumbers w:val="0"/>
              <w:spacing w:line="240" w:lineRule="auto"/>
              <w:jc w:val="center"/>
              <w:rPr>
                <w:rFonts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SN16≥16kN/m²</w:t>
            </w:r>
          </w:p>
        </w:tc>
      </w:tr>
      <w:tr w14:paraId="5692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vMerge w:val="continue"/>
            <w:shd w:val="clear" w:color="auto" w:fill="auto"/>
            <w:vAlign w:val="center"/>
          </w:tcPr>
          <w:p w14:paraId="45A5565C">
            <w:pPr>
              <w:keepNext w:val="0"/>
              <w:keepLines w:val="0"/>
              <w:widowControl/>
              <w:suppressLineNumbers w:val="0"/>
              <w:spacing w:line="240" w:lineRule="auto"/>
              <w:jc w:val="center"/>
              <w:rPr>
                <w:rFonts w:ascii="宋体" w:hAnsi="宋体" w:eastAsia="宋体" w:cs="宋体"/>
                <w:b w:val="0"/>
                <w:bCs w:val="0"/>
                <w:kern w:val="0"/>
                <w:sz w:val="18"/>
                <w:szCs w:val="18"/>
                <w:lang w:val="en-US" w:eastAsia="zh-CN" w:bidi="ar"/>
              </w:rPr>
            </w:pPr>
          </w:p>
        </w:tc>
        <w:tc>
          <w:tcPr>
            <w:tcW w:w="4033" w:type="dxa"/>
            <w:vMerge w:val="continue"/>
            <w:shd w:val="clear" w:color="auto" w:fill="auto"/>
            <w:vAlign w:val="center"/>
          </w:tcPr>
          <w:p w14:paraId="3E6BF898">
            <w:pPr>
              <w:keepNext w:val="0"/>
              <w:keepLines w:val="0"/>
              <w:widowControl/>
              <w:suppressLineNumbers w:val="0"/>
              <w:spacing w:line="240" w:lineRule="auto"/>
              <w:jc w:val="center"/>
              <w:rPr>
                <w:rFonts w:ascii="宋体" w:hAnsi="宋体" w:eastAsia="宋体" w:cs="宋体"/>
                <w:b w:val="0"/>
                <w:bCs w:val="0"/>
                <w:kern w:val="0"/>
                <w:sz w:val="18"/>
                <w:szCs w:val="18"/>
                <w:lang w:val="en-US" w:eastAsia="zh-CN" w:bidi="ar"/>
              </w:rPr>
            </w:pPr>
          </w:p>
        </w:tc>
        <w:tc>
          <w:tcPr>
            <w:tcW w:w="4034" w:type="dxa"/>
            <w:shd w:val="clear" w:color="auto" w:fill="auto"/>
            <w:vAlign w:val="center"/>
          </w:tcPr>
          <w:p w14:paraId="0D43257A">
            <w:pPr>
              <w:keepNext w:val="0"/>
              <w:keepLines w:val="0"/>
              <w:widowControl/>
              <w:suppressLineNumbers w:val="0"/>
              <w:spacing w:line="240" w:lineRule="auto"/>
              <w:jc w:val="center"/>
              <w:rPr>
                <w:rFonts w:ascii="宋体" w:hAnsi="宋体" w:eastAsia="宋体" w:cs="宋体"/>
                <w:b w:val="0"/>
                <w:bCs w:val="0"/>
                <w:kern w:val="0"/>
                <w:sz w:val="18"/>
                <w:szCs w:val="18"/>
                <w:lang w:val="en-US" w:eastAsia="zh-CN" w:bidi="ar"/>
              </w:rPr>
            </w:pPr>
            <w:r>
              <w:rPr>
                <w:rFonts w:ascii="宋体" w:hAnsi="宋体" w:eastAsia="宋体" w:cs="宋体"/>
                <w:b w:val="0"/>
                <w:bCs w:val="0"/>
                <w:kern w:val="0"/>
                <w:sz w:val="18"/>
                <w:szCs w:val="18"/>
                <w:lang w:val="en-US" w:eastAsia="zh-CN" w:bidi="ar"/>
              </w:rPr>
              <w:t>SN20≥20kN/m²</w:t>
            </w:r>
          </w:p>
        </w:tc>
      </w:tr>
      <w:tr w14:paraId="0B18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2D699738">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5</w:t>
            </w:r>
          </w:p>
        </w:tc>
        <w:tc>
          <w:tcPr>
            <w:tcW w:w="4033" w:type="dxa"/>
            <w:shd w:val="clear" w:color="auto" w:fill="auto"/>
            <w:vAlign w:val="center"/>
          </w:tcPr>
          <w:p w14:paraId="64D64DA5">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纵向回缩率</w:t>
            </w:r>
          </w:p>
        </w:tc>
        <w:tc>
          <w:tcPr>
            <w:tcW w:w="4034" w:type="dxa"/>
            <w:shd w:val="clear" w:color="auto" w:fill="auto"/>
            <w:vAlign w:val="center"/>
          </w:tcPr>
          <w:p w14:paraId="2C52150B">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≤2.0%</w:t>
            </w:r>
          </w:p>
        </w:tc>
      </w:tr>
      <w:tr w14:paraId="2A9E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04F6359A">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6</w:t>
            </w:r>
          </w:p>
        </w:tc>
        <w:tc>
          <w:tcPr>
            <w:tcW w:w="4033" w:type="dxa"/>
            <w:shd w:val="clear" w:color="auto" w:fill="auto"/>
            <w:vAlign w:val="center"/>
          </w:tcPr>
          <w:p w14:paraId="783BF287">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拉伸断裂强度</w:t>
            </w:r>
          </w:p>
        </w:tc>
        <w:tc>
          <w:tcPr>
            <w:tcW w:w="4034" w:type="dxa"/>
            <w:shd w:val="clear" w:color="auto" w:fill="auto"/>
            <w:vAlign w:val="center"/>
          </w:tcPr>
          <w:p w14:paraId="0DADC3D2">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≥26MPa</w:t>
            </w:r>
          </w:p>
        </w:tc>
      </w:tr>
      <w:tr w14:paraId="74EA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1004" w:type="dxa"/>
            <w:shd w:val="clear" w:color="auto" w:fill="auto"/>
            <w:vAlign w:val="center"/>
          </w:tcPr>
          <w:p w14:paraId="0996261A">
            <w:pPr>
              <w:keepNext w:val="0"/>
              <w:keepLines w:val="0"/>
              <w:widowControl/>
              <w:suppressLineNumbers w:val="0"/>
              <w:spacing w:line="240" w:lineRule="auto"/>
              <w:jc w:val="center"/>
              <w:rPr>
                <w:rFonts w:hint="default" w:ascii="宋体" w:hAnsi="宋体" w:eastAsia="宋体" w:cs="宋体"/>
                <w:b w:val="0"/>
                <w:bCs w:val="0"/>
                <w:kern w:val="0"/>
                <w:sz w:val="18"/>
                <w:szCs w:val="18"/>
                <w:lang w:val="en-US" w:eastAsia="zh-CN" w:bidi="ar"/>
              </w:rPr>
            </w:pPr>
            <w:r>
              <w:rPr>
                <w:rFonts w:hint="eastAsia" w:ascii="宋体" w:hAnsi="宋体" w:eastAsia="宋体" w:cs="宋体"/>
                <w:b w:val="0"/>
                <w:bCs w:val="0"/>
                <w:kern w:val="0"/>
                <w:sz w:val="18"/>
                <w:szCs w:val="18"/>
                <w:lang w:val="en-US" w:eastAsia="zh-CN" w:bidi="ar"/>
              </w:rPr>
              <w:t>7</w:t>
            </w:r>
          </w:p>
        </w:tc>
        <w:tc>
          <w:tcPr>
            <w:tcW w:w="4033" w:type="dxa"/>
            <w:shd w:val="clear" w:color="auto" w:fill="auto"/>
            <w:vAlign w:val="center"/>
          </w:tcPr>
          <w:p w14:paraId="798F49C6">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断裂伸长率</w:t>
            </w:r>
          </w:p>
        </w:tc>
        <w:tc>
          <w:tcPr>
            <w:tcW w:w="4034" w:type="dxa"/>
            <w:shd w:val="clear" w:color="auto" w:fill="auto"/>
            <w:vAlign w:val="center"/>
          </w:tcPr>
          <w:p w14:paraId="4C840983">
            <w:pPr>
              <w:keepNext w:val="0"/>
              <w:keepLines w:val="0"/>
              <w:widowControl/>
              <w:suppressLineNumbers w:val="0"/>
              <w:spacing w:line="240" w:lineRule="auto"/>
              <w:jc w:val="center"/>
              <w:rPr>
                <w:b w:val="0"/>
                <w:bCs w:val="0"/>
                <w:sz w:val="18"/>
                <w:szCs w:val="18"/>
              </w:rPr>
            </w:pPr>
            <w:r>
              <w:rPr>
                <w:rFonts w:ascii="宋体" w:hAnsi="宋体" w:eastAsia="宋体" w:cs="宋体"/>
                <w:b w:val="0"/>
                <w:bCs w:val="0"/>
                <w:kern w:val="0"/>
                <w:sz w:val="18"/>
                <w:szCs w:val="18"/>
                <w:lang w:val="en-US" w:eastAsia="zh-CN" w:bidi="ar"/>
              </w:rPr>
              <w:t>≥600%</w:t>
            </w:r>
          </w:p>
        </w:tc>
      </w:tr>
    </w:tbl>
    <w:p w14:paraId="425656DF">
      <w:pPr>
        <w:pStyle w:val="108"/>
        <w:spacing w:before="120" w:after="120"/>
        <w:rPr>
          <w:rFonts w:hint="eastAsia" w:ascii="黑体" w:hAnsi="黑体" w:eastAsia="黑体" w:cs="黑体"/>
          <w:sz w:val="21"/>
          <w:lang w:val="en-US" w:eastAsia="zh-CN" w:bidi="ar-SA"/>
        </w:rPr>
      </w:pPr>
      <w:bookmarkStart w:id="65" w:name="_Toc1221"/>
      <w:r>
        <w:rPr>
          <w:rFonts w:hint="eastAsia" w:ascii="黑体" w:hAnsi="黑体" w:eastAsia="黑体" w:cs="黑体"/>
          <w:sz w:val="21"/>
          <w:lang w:val="en-US" w:eastAsia="zh-CN" w:bidi="ar-SA"/>
        </w:rPr>
        <w:t>耐老化性能</w:t>
      </w:r>
      <w:bookmarkEnd w:id="65"/>
    </w:p>
    <w:p w14:paraId="2F7A24D7">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5.5.1 热老化</w:t>
      </w:r>
    </w:p>
    <w:p w14:paraId="7E8EE998">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110℃恒温烘箱老化8760h后，-20℃低温冲击强度保留率不应低于70%。</w:t>
      </w:r>
    </w:p>
    <w:p w14:paraId="08AA1BD6">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5.5.2 紫外老化</w:t>
      </w:r>
    </w:p>
    <w:p w14:paraId="33EC8C66">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荧光紫外灯持续暴露1000h，管材不应出现开裂、粉化、分层；拉伸强度保留率不应低于75%。</w:t>
      </w:r>
    </w:p>
    <w:p w14:paraId="621E9071">
      <w:pPr>
        <w:pStyle w:val="108"/>
        <w:spacing w:before="120" w:after="120"/>
        <w:rPr>
          <w:rFonts w:hint="eastAsia" w:ascii="黑体" w:hAnsi="黑体" w:eastAsia="黑体" w:cs="黑体"/>
          <w:sz w:val="21"/>
          <w:lang w:val="en-US" w:eastAsia="zh-CN" w:bidi="ar-SA"/>
        </w:rPr>
      </w:pPr>
      <w:bookmarkStart w:id="66" w:name="_Toc17785"/>
      <w:r>
        <w:rPr>
          <w:rFonts w:hint="eastAsia" w:ascii="黑体" w:hAnsi="黑体" w:eastAsia="黑体" w:cs="黑体"/>
          <w:sz w:val="21"/>
          <w:lang w:val="en-US" w:eastAsia="zh-CN" w:bidi="ar-SA"/>
        </w:rPr>
        <w:t>热熔对接接头性能</w:t>
      </w:r>
      <w:bookmarkEnd w:id="66"/>
    </w:p>
    <w:p w14:paraId="088F2A5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非开挖工程配套管材应通过热熔对接验证；接头拉伸断裂强度不应低于管材本体强度的85%，熔合区域不应存在分层、剥离、贯穿裂纹。</w:t>
      </w:r>
    </w:p>
    <w:p w14:paraId="054F3397">
      <w:pPr>
        <w:pStyle w:val="107"/>
        <w:spacing w:before="240" w:after="240"/>
        <w:rPr>
          <w:rFonts w:hint="eastAsia"/>
          <w:szCs w:val="21"/>
          <w:lang w:val="en-US" w:eastAsia="zh-CN"/>
        </w:rPr>
      </w:pPr>
      <w:bookmarkStart w:id="67" w:name="_Toc1988"/>
      <w:r>
        <w:rPr>
          <w:rFonts w:hint="eastAsia"/>
          <w:szCs w:val="21"/>
          <w:lang w:val="en-US" w:eastAsia="zh-CN"/>
        </w:rPr>
        <w:t>试验方法</w:t>
      </w:r>
      <w:bookmarkEnd w:id="67"/>
    </w:p>
    <w:p w14:paraId="415317F1">
      <w:pPr>
        <w:pStyle w:val="108"/>
        <w:spacing w:before="120" w:after="120"/>
        <w:rPr>
          <w:rFonts w:hint="eastAsia" w:ascii="黑体" w:hAnsi="黑体" w:eastAsia="黑体" w:cs="黑体"/>
          <w:sz w:val="21"/>
          <w:lang w:val="en-US" w:eastAsia="zh-CN" w:bidi="ar-SA"/>
        </w:rPr>
      </w:pPr>
      <w:bookmarkStart w:id="68" w:name="_Toc19419"/>
      <w:r>
        <w:rPr>
          <w:rFonts w:hint="eastAsia" w:ascii="黑体" w:hAnsi="黑体" w:eastAsia="黑体" w:cs="黑体"/>
          <w:sz w:val="21"/>
          <w:lang w:val="en-US" w:eastAsia="zh-CN" w:bidi="ar-SA"/>
        </w:rPr>
        <w:t>原料性能试验</w:t>
      </w:r>
      <w:bookmarkEnd w:id="68"/>
    </w:p>
    <w:p w14:paraId="266E5ED8">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6.1.1 基体树脂核查</w:t>
      </w:r>
    </w:p>
    <w:p w14:paraId="1D9FB75B">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进厂树脂应核对出厂熔体流动速率检测报告，严禁使用回收塑料原料。</w:t>
      </w:r>
    </w:p>
    <w:p w14:paraId="6E309001">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6.1.2 助剂配比核验</w:t>
      </w:r>
    </w:p>
    <w:p w14:paraId="7F4958DC">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生产投料记录应留存，碳酸钙添加量不应超过总质量12%。</w:t>
      </w:r>
    </w:p>
    <w:p w14:paraId="53DBA910">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6.1.3 混合料密度试验</w:t>
      </w:r>
    </w:p>
    <w:p w14:paraId="467442F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1033.1浸渍法开展测试，每组平行试样不少于3个。</w:t>
      </w:r>
    </w:p>
    <w:p w14:paraId="04301463">
      <w:pPr>
        <w:pStyle w:val="108"/>
        <w:spacing w:before="120" w:after="120"/>
        <w:rPr>
          <w:rFonts w:hint="eastAsia" w:ascii="黑体" w:hAnsi="黑体" w:eastAsia="黑体" w:cs="黑体"/>
          <w:sz w:val="21"/>
          <w:lang w:val="en-US" w:eastAsia="zh-CN" w:bidi="ar-SA"/>
        </w:rPr>
      </w:pPr>
      <w:bookmarkStart w:id="69" w:name="_Toc22049"/>
      <w:r>
        <w:rPr>
          <w:rFonts w:hint="eastAsia" w:ascii="黑体" w:hAnsi="黑体" w:eastAsia="黑体" w:cs="黑体"/>
          <w:sz w:val="21"/>
          <w:lang w:val="en-US" w:eastAsia="zh-CN" w:bidi="ar-SA"/>
        </w:rPr>
        <w:t>外观质量检查</w:t>
      </w:r>
      <w:bookmarkEnd w:id="69"/>
    </w:p>
    <w:p w14:paraId="726D42BB">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自然光环境目视检查管材内外壁、管口、整体颜色；精度1mm钢直尺测量直线度。</w:t>
      </w:r>
    </w:p>
    <w:p w14:paraId="10B198C6">
      <w:pPr>
        <w:pStyle w:val="108"/>
        <w:spacing w:before="120" w:after="120"/>
        <w:rPr>
          <w:rFonts w:hint="eastAsia" w:ascii="黑体" w:hAnsi="黑体" w:eastAsia="黑体" w:cs="黑体"/>
          <w:sz w:val="21"/>
          <w:lang w:val="en-US" w:eastAsia="zh-CN" w:bidi="ar-SA"/>
        </w:rPr>
      </w:pPr>
      <w:bookmarkStart w:id="70" w:name="_Toc3423"/>
      <w:r>
        <w:rPr>
          <w:rFonts w:hint="eastAsia" w:ascii="黑体" w:hAnsi="黑体" w:eastAsia="黑体" w:cs="黑体"/>
          <w:sz w:val="21"/>
          <w:lang w:val="en-US" w:eastAsia="zh-CN" w:bidi="ar-SA"/>
        </w:rPr>
        <w:t>尺寸测量</w:t>
      </w:r>
      <w:bookmarkEnd w:id="70"/>
    </w:p>
    <w:p w14:paraId="690935E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外径使用分度值0.02mm游标卡尺，同一截面垂直测两组取平均值；壁厚圆周均匀4点测量；长度使用1mm钢卷尺；端面斜度采用直角尺+塞尺检测。</w:t>
      </w:r>
    </w:p>
    <w:p w14:paraId="79905047">
      <w:pPr>
        <w:pStyle w:val="108"/>
        <w:spacing w:before="120" w:after="120"/>
        <w:rPr>
          <w:rFonts w:hint="eastAsia" w:ascii="黑体" w:hAnsi="黑体" w:eastAsia="黑体" w:cs="黑体"/>
          <w:sz w:val="21"/>
          <w:lang w:val="en-US" w:eastAsia="zh-CN" w:bidi="ar-SA"/>
        </w:rPr>
      </w:pPr>
      <w:bookmarkStart w:id="71" w:name="_Toc6245"/>
      <w:r>
        <w:rPr>
          <w:rFonts w:hint="eastAsia" w:ascii="黑体" w:hAnsi="黑体" w:eastAsia="黑体" w:cs="黑体"/>
          <w:sz w:val="21"/>
          <w:lang w:val="en-US" w:eastAsia="zh-CN" w:bidi="ar-SA"/>
        </w:rPr>
        <w:t>物理力学性能试验</w:t>
      </w:r>
      <w:bookmarkEnd w:id="71"/>
    </w:p>
    <w:p w14:paraId="21DCD4AB">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6.4.1 维卡软化温度</w:t>
      </w:r>
    </w:p>
    <w:p w14:paraId="4F17A0B5">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1633执行，负荷50N，升温速率50℃/h。</w:t>
      </w:r>
    </w:p>
    <w:p w14:paraId="518A4DBA">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6.4.2 简支梁冲击试验</w:t>
      </w:r>
    </w:p>
    <w:p w14:paraId="5423DD0D">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1043.1执行；常温、低温试样各10根，低温试样于-20℃环境恒温2h后立即开展测试。</w:t>
      </w:r>
    </w:p>
    <w:p w14:paraId="1616A304">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6.4.3 环刚度试验</w:t>
      </w:r>
    </w:p>
    <w:p w14:paraId="7CB3485F">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9647执行，截取3倍公称外径管段，压缩速率5mm/min。</w:t>
      </w:r>
    </w:p>
    <w:p w14:paraId="18032CDC">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6.4.4 纵向回缩率</w:t>
      </w:r>
    </w:p>
    <w:p w14:paraId="1A7C8C9A">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6671执行。</w:t>
      </w:r>
    </w:p>
    <w:p w14:paraId="240AACEE">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6.4.5 拉伸断裂强度、断裂伸长率试验</w:t>
      </w:r>
    </w:p>
    <w:p w14:paraId="2D4999B8">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1040.1执行，采用1A型试样，拉伸速度50mm/min。</w:t>
      </w:r>
    </w:p>
    <w:p w14:paraId="35F442FC">
      <w:pPr>
        <w:pStyle w:val="108"/>
        <w:spacing w:before="120" w:after="120"/>
        <w:rPr>
          <w:rFonts w:hint="eastAsia" w:ascii="黑体" w:hAnsi="黑体" w:eastAsia="黑体" w:cs="黑体"/>
          <w:sz w:val="21"/>
          <w:lang w:val="en-US" w:eastAsia="zh-CN" w:bidi="ar-SA"/>
        </w:rPr>
      </w:pPr>
      <w:bookmarkStart w:id="72" w:name="_Toc3140"/>
      <w:r>
        <w:rPr>
          <w:rFonts w:hint="eastAsia" w:ascii="黑体" w:hAnsi="黑体" w:eastAsia="黑体" w:cs="黑体"/>
          <w:sz w:val="21"/>
          <w:lang w:val="en-US" w:eastAsia="zh-CN" w:bidi="ar-SA"/>
        </w:rPr>
        <w:t>耐老化</w:t>
      </w:r>
      <w:r>
        <w:rPr>
          <w:rFonts w:hint="eastAsia" w:hAnsi="黑体" w:cs="黑体"/>
          <w:sz w:val="21"/>
          <w:lang w:val="en-US" w:eastAsia="zh-CN" w:bidi="ar-SA"/>
        </w:rPr>
        <w:t>性能</w:t>
      </w:r>
      <w:r>
        <w:rPr>
          <w:rFonts w:hint="eastAsia" w:ascii="黑体" w:hAnsi="黑体" w:eastAsia="黑体" w:cs="黑体"/>
          <w:sz w:val="21"/>
          <w:lang w:val="en-US" w:eastAsia="zh-CN" w:bidi="ar-SA"/>
        </w:rPr>
        <w:t>试验</w:t>
      </w:r>
      <w:bookmarkEnd w:id="72"/>
    </w:p>
    <w:p w14:paraId="5892EC24">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6.5.1 热老化试验</w:t>
      </w:r>
    </w:p>
    <w:p w14:paraId="6396DE98">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7141执行，110℃连续老化8760h，冷却后按6.4.2进行简支梁冲击试验。</w:t>
      </w:r>
    </w:p>
    <w:p w14:paraId="5B2A8A82">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6.5.2 紫外老化试验</w:t>
      </w:r>
    </w:p>
    <w:p w14:paraId="7FD0046D">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按GB/T 16422.3执行，暴露1000h，先目视检查表面状态，再按6.4.5测试拉伸断裂强度，计算强度保留率。</w:t>
      </w:r>
    </w:p>
    <w:p w14:paraId="66D5FE69">
      <w:pPr>
        <w:pStyle w:val="108"/>
        <w:spacing w:before="120" w:after="120"/>
        <w:rPr>
          <w:rFonts w:hint="eastAsia" w:ascii="黑体" w:hAnsi="黑体" w:eastAsia="黑体" w:cs="黑体"/>
          <w:sz w:val="21"/>
          <w:lang w:val="en-US" w:eastAsia="zh-CN" w:bidi="ar-SA"/>
        </w:rPr>
      </w:pPr>
      <w:bookmarkStart w:id="73" w:name="_Toc15430"/>
      <w:r>
        <w:rPr>
          <w:rFonts w:hint="eastAsia" w:ascii="黑体" w:hAnsi="黑体" w:eastAsia="黑体" w:cs="黑体"/>
          <w:sz w:val="21"/>
          <w:lang w:val="en-US" w:eastAsia="zh-CN" w:bidi="ar-SA"/>
        </w:rPr>
        <w:t>热熔对接接头</w:t>
      </w:r>
      <w:r>
        <w:rPr>
          <w:rFonts w:hint="eastAsia" w:hAnsi="黑体" w:cs="黑体"/>
          <w:sz w:val="21"/>
          <w:lang w:val="en-US" w:eastAsia="zh-CN" w:bidi="ar-SA"/>
        </w:rPr>
        <w:t>性能</w:t>
      </w:r>
      <w:r>
        <w:rPr>
          <w:rFonts w:hint="eastAsia" w:ascii="黑体" w:hAnsi="黑体" w:eastAsia="黑体" w:cs="黑体"/>
          <w:sz w:val="21"/>
          <w:lang w:val="en-US" w:eastAsia="zh-CN" w:bidi="ar-SA"/>
        </w:rPr>
        <w:t>试验</w:t>
      </w:r>
      <w:bookmarkEnd w:id="73"/>
    </w:p>
    <w:p w14:paraId="0E88A8C2">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采用工程标准热熔设备焊接管材，自然冷却2h后制取拉伸试样，按6.4.5开展试验，接头强度不应低于母材85%。</w:t>
      </w:r>
    </w:p>
    <w:p w14:paraId="3CFFA22E">
      <w:pPr>
        <w:pStyle w:val="107"/>
        <w:spacing w:before="240" w:after="240"/>
        <w:rPr>
          <w:rFonts w:hint="eastAsia"/>
          <w:szCs w:val="21"/>
          <w:lang w:val="en-US" w:eastAsia="zh-CN"/>
        </w:rPr>
      </w:pPr>
      <w:bookmarkStart w:id="74" w:name="_Toc27152"/>
      <w:r>
        <w:rPr>
          <w:rFonts w:hint="eastAsia"/>
          <w:szCs w:val="21"/>
          <w:lang w:val="en-US" w:eastAsia="zh-CN"/>
        </w:rPr>
        <w:t>检验规则</w:t>
      </w:r>
      <w:bookmarkEnd w:id="74"/>
    </w:p>
    <w:p w14:paraId="31258027">
      <w:pPr>
        <w:pStyle w:val="108"/>
        <w:spacing w:before="120" w:after="120"/>
        <w:rPr>
          <w:rFonts w:hint="eastAsia" w:ascii="黑体" w:hAnsi="黑体" w:eastAsia="黑体" w:cs="黑体"/>
          <w:sz w:val="21"/>
          <w:lang w:val="en-US" w:eastAsia="zh-CN" w:bidi="ar-SA"/>
        </w:rPr>
      </w:pPr>
      <w:bookmarkStart w:id="75" w:name="_Toc17716"/>
      <w:r>
        <w:rPr>
          <w:rFonts w:hint="eastAsia" w:ascii="黑体" w:hAnsi="黑体" w:eastAsia="黑体" w:cs="黑体"/>
          <w:sz w:val="21"/>
          <w:lang w:val="en-US" w:eastAsia="zh-CN" w:bidi="ar-SA"/>
        </w:rPr>
        <w:t>检验分类</w:t>
      </w:r>
      <w:bookmarkEnd w:id="75"/>
    </w:p>
    <w:p w14:paraId="39E1815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产品检验分为出厂检验、型式检验两类。</w:t>
      </w:r>
    </w:p>
    <w:p w14:paraId="58E9B6C0">
      <w:pPr>
        <w:pStyle w:val="108"/>
        <w:spacing w:before="120" w:after="120"/>
        <w:rPr>
          <w:rFonts w:hint="eastAsia" w:ascii="黑体" w:hAnsi="黑体" w:eastAsia="黑体" w:cs="黑体"/>
          <w:sz w:val="21"/>
          <w:lang w:val="en-US" w:eastAsia="zh-CN" w:bidi="ar-SA"/>
        </w:rPr>
      </w:pPr>
      <w:bookmarkStart w:id="76" w:name="_Toc27758"/>
      <w:r>
        <w:rPr>
          <w:rFonts w:hint="eastAsia" w:ascii="黑体" w:hAnsi="黑体" w:eastAsia="黑体" w:cs="黑体"/>
          <w:sz w:val="21"/>
          <w:lang w:val="en-US" w:eastAsia="zh-CN" w:bidi="ar-SA"/>
        </w:rPr>
        <w:t>出厂检验</w:t>
      </w:r>
      <w:bookmarkEnd w:id="76"/>
    </w:p>
    <w:p w14:paraId="0B276CCE">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7.2.1 批次划分</w:t>
      </w:r>
    </w:p>
    <w:p w14:paraId="090EB113">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同一原料、同一工艺、同一规格连续生产200t为一批，不足200t可按一批计。</w:t>
      </w:r>
    </w:p>
    <w:p w14:paraId="66631221">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7.2.2 检验项目</w:t>
      </w:r>
    </w:p>
    <w:p w14:paraId="767E5D9E">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应包括外观、尺寸</w:t>
      </w:r>
      <w:r>
        <w:rPr>
          <w:rFonts w:hint="eastAsia" w:ascii="宋体" w:hAnsi="宋体" w:cs="宋体"/>
          <w:lang w:val="en-US" w:eastAsia="zh-CN"/>
        </w:rPr>
        <w:t>、力学性能</w:t>
      </w:r>
      <w:r>
        <w:rPr>
          <w:rFonts w:hint="eastAsia" w:ascii="宋体" w:hAnsi="宋体" w:eastAsia="宋体" w:cs="宋体"/>
          <w:lang w:val="en-US" w:eastAsia="zh-CN"/>
        </w:rPr>
        <w:t>。</w:t>
      </w:r>
    </w:p>
    <w:p w14:paraId="4D0960AD">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7.2.3 抽样与判定</w:t>
      </w:r>
    </w:p>
    <w:p w14:paraId="463939B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外观、尺寸按GB/T 2828.1采用正常检验一次抽样方案，一般检验水平Ⅰ，AQL取6.5</w:t>
      </w:r>
      <w:r>
        <w:rPr>
          <w:rFonts w:hint="eastAsia" w:ascii="宋体" w:hAnsi="宋体" w:cs="宋体"/>
          <w:lang w:val="en-US" w:eastAsia="zh-CN"/>
        </w:rPr>
        <w:t>。</w:t>
      </w:r>
      <w:r>
        <w:rPr>
          <w:rFonts w:hint="eastAsia" w:ascii="宋体" w:hAnsi="宋体" w:eastAsia="宋体" w:cs="宋体"/>
          <w:lang w:val="en-US" w:eastAsia="zh-CN"/>
        </w:rPr>
        <w:t>从外观、尺寸抽检合格管材中随机抽取3根制作力学性能试样</w:t>
      </w:r>
      <w:r>
        <w:rPr>
          <w:rFonts w:hint="eastAsia" w:ascii="宋体" w:hAnsi="宋体" w:cs="宋体"/>
          <w:lang w:val="en-US" w:eastAsia="zh-CN"/>
        </w:rPr>
        <w:t>，</w:t>
      </w:r>
      <w:r>
        <w:rPr>
          <w:rFonts w:hint="eastAsia" w:ascii="宋体" w:hAnsi="宋体" w:eastAsia="宋体" w:cs="宋体"/>
          <w:lang w:val="en-US" w:eastAsia="zh-CN"/>
        </w:rPr>
        <w:t>力学性能任意一项检测不合格，加倍抽样复检，复检仍不合格，则判定该批不合格，严禁出厂。</w:t>
      </w:r>
    </w:p>
    <w:p w14:paraId="571F5910">
      <w:pPr>
        <w:pStyle w:val="108"/>
        <w:spacing w:before="120" w:after="120"/>
        <w:rPr>
          <w:rFonts w:hint="eastAsia" w:ascii="黑体" w:hAnsi="黑体" w:eastAsia="黑体" w:cs="黑体"/>
          <w:sz w:val="21"/>
          <w:lang w:val="en-US" w:eastAsia="zh-CN" w:bidi="ar-SA"/>
        </w:rPr>
      </w:pPr>
      <w:bookmarkStart w:id="77" w:name="_Toc23104"/>
      <w:r>
        <w:rPr>
          <w:rFonts w:hint="eastAsia" w:ascii="黑体" w:hAnsi="黑体" w:eastAsia="黑体" w:cs="黑体"/>
          <w:sz w:val="21"/>
          <w:lang w:val="en-US" w:eastAsia="zh-CN" w:bidi="ar-SA"/>
        </w:rPr>
        <w:t>型式检验</w:t>
      </w:r>
      <w:bookmarkEnd w:id="77"/>
    </w:p>
    <w:p w14:paraId="59F9FD34">
      <w:pPr>
        <w:bidi w:val="0"/>
        <w:spacing w:line="240" w:lineRule="auto"/>
        <w:rPr>
          <w:rFonts w:hint="default" w:ascii="宋体" w:hAnsi="宋体" w:eastAsia="宋体" w:cs="宋体"/>
          <w:lang w:val="en-US" w:eastAsia="zh-CN"/>
        </w:rPr>
      </w:pPr>
      <w:r>
        <w:rPr>
          <w:rFonts w:hint="eastAsia" w:ascii="宋体" w:hAnsi="宋体" w:eastAsia="宋体" w:cs="宋体"/>
          <w:lang w:val="en-US" w:eastAsia="zh-CN"/>
        </w:rPr>
        <w:t>7.3.1 检验时机</w:t>
      </w:r>
    </w:p>
    <w:p w14:paraId="3BB6F971">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出现下列任一情况，应开展全项型式检验：</w:t>
      </w:r>
    </w:p>
    <w:p w14:paraId="2545279E">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a）新产品定型投产；</w:t>
      </w:r>
    </w:p>
    <w:p w14:paraId="102AFA45">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b）原料、设备、工艺重大调整；</w:t>
      </w:r>
    </w:p>
    <w:p w14:paraId="45485674">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c）停产6个月以上复产；</w:t>
      </w:r>
    </w:p>
    <w:p w14:paraId="0F3664A0">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d）出厂批量持续不合格；</w:t>
      </w:r>
    </w:p>
    <w:p w14:paraId="4B23804F">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e）监管单位抽检要求。</w:t>
      </w:r>
    </w:p>
    <w:p w14:paraId="272B72D8">
      <w:pPr>
        <w:bidi w:val="0"/>
        <w:spacing w:line="240" w:lineRule="auto"/>
        <w:rPr>
          <w:rFonts w:hint="default" w:ascii="宋体" w:hAnsi="宋体" w:eastAsia="宋体" w:cs="宋体"/>
          <w:lang w:val="en-US" w:eastAsia="zh-CN"/>
        </w:rPr>
      </w:pPr>
      <w:r>
        <w:rPr>
          <w:rFonts w:hint="eastAsia" w:ascii="宋体" w:hAnsi="宋体" w:eastAsia="宋体" w:cs="宋体"/>
          <w:lang w:val="en-US" w:eastAsia="zh-CN"/>
        </w:rPr>
        <w:t>7.3.2 检验项目</w:t>
      </w:r>
    </w:p>
    <w:p w14:paraId="4D7A018E">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应包括本文件规定的第5章全部技术要求，抽样按GB/T 2828.1执行，一般检验水平Ⅰ，AQL 6.5。</w:t>
      </w:r>
    </w:p>
    <w:p w14:paraId="3DDBA644">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7.3.3 判定规则</w:t>
      </w:r>
    </w:p>
    <w:p w14:paraId="108881B8">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所有项目全部合格，型式检验判定通过；任一指标不合格，应停产整改，整改完成后重新全套检测。</w:t>
      </w:r>
    </w:p>
    <w:p w14:paraId="15F8DBA6">
      <w:pPr>
        <w:pStyle w:val="107"/>
        <w:spacing w:before="240" w:after="240"/>
        <w:rPr>
          <w:rFonts w:hint="eastAsia"/>
          <w:szCs w:val="21"/>
          <w:lang w:val="en-US" w:eastAsia="zh-CN"/>
        </w:rPr>
      </w:pPr>
      <w:bookmarkStart w:id="78" w:name="_Toc32244"/>
      <w:r>
        <w:rPr>
          <w:rFonts w:hint="eastAsia"/>
          <w:szCs w:val="21"/>
          <w:lang w:val="en-US" w:eastAsia="zh-CN"/>
        </w:rPr>
        <w:t>标志、包装、运输和贮存</w:t>
      </w:r>
      <w:bookmarkEnd w:id="78"/>
    </w:p>
    <w:p w14:paraId="1AEC3B5A">
      <w:pPr>
        <w:pStyle w:val="108"/>
        <w:spacing w:before="120" w:after="120"/>
        <w:rPr>
          <w:rFonts w:hint="eastAsia" w:ascii="黑体" w:hAnsi="黑体" w:eastAsia="黑体" w:cs="黑体"/>
          <w:sz w:val="21"/>
          <w:lang w:val="en-US" w:eastAsia="zh-CN" w:bidi="ar-SA"/>
        </w:rPr>
      </w:pPr>
      <w:bookmarkStart w:id="79" w:name="_Toc17484"/>
      <w:r>
        <w:rPr>
          <w:rFonts w:hint="eastAsia" w:ascii="黑体" w:hAnsi="黑体" w:eastAsia="黑体" w:cs="黑体"/>
          <w:sz w:val="21"/>
          <w:lang w:val="en-US" w:eastAsia="zh-CN" w:bidi="ar-SA"/>
        </w:rPr>
        <w:t>标志</w:t>
      </w:r>
      <w:bookmarkEnd w:id="79"/>
    </w:p>
    <w:p w14:paraId="21746FC2">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每根管材外壁应印制永久性标识，标识间隔不应大于2m；文字擦拭100次不模糊脱落；标识内容应包含产品名称、型号、环刚度、本文件、生产单位、生产日期、批号，符合GB/T 191的规定。</w:t>
      </w:r>
    </w:p>
    <w:p w14:paraId="352AC82E">
      <w:pPr>
        <w:pStyle w:val="108"/>
        <w:spacing w:before="120" w:after="120"/>
        <w:rPr>
          <w:rFonts w:hint="eastAsia" w:ascii="黑体" w:hAnsi="黑体" w:eastAsia="黑体" w:cs="黑体"/>
          <w:sz w:val="21"/>
          <w:lang w:val="en-US" w:eastAsia="zh-CN" w:bidi="ar-SA"/>
        </w:rPr>
      </w:pPr>
      <w:bookmarkStart w:id="80" w:name="_Toc12825"/>
      <w:r>
        <w:rPr>
          <w:rFonts w:hint="eastAsia" w:ascii="黑体" w:hAnsi="黑体" w:eastAsia="黑体" w:cs="黑体"/>
          <w:sz w:val="21"/>
          <w:lang w:val="en-US" w:eastAsia="zh-CN" w:bidi="ar-SA"/>
        </w:rPr>
        <w:t>包装</w:t>
      </w:r>
      <w:bookmarkEnd w:id="80"/>
    </w:p>
    <w:p w14:paraId="3E4181CC">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管材宜用塑料打包带捆扎，每捆数量不宜超过30根；管口应加装塑料护圈防护磕碰。</w:t>
      </w:r>
    </w:p>
    <w:p w14:paraId="7048A2DD">
      <w:pPr>
        <w:pStyle w:val="108"/>
        <w:spacing w:before="120" w:after="120"/>
        <w:rPr>
          <w:rFonts w:hint="eastAsia" w:ascii="黑体" w:hAnsi="黑体" w:eastAsia="黑体" w:cs="黑体"/>
          <w:sz w:val="21"/>
          <w:lang w:val="en-US" w:eastAsia="zh-CN" w:bidi="ar-SA"/>
        </w:rPr>
      </w:pPr>
      <w:bookmarkStart w:id="81" w:name="_Toc26274"/>
      <w:r>
        <w:rPr>
          <w:rFonts w:hint="eastAsia" w:ascii="黑体" w:hAnsi="黑体" w:eastAsia="黑体" w:cs="黑体"/>
          <w:sz w:val="21"/>
          <w:lang w:val="en-US" w:eastAsia="zh-CN" w:bidi="ar-SA"/>
        </w:rPr>
        <w:t>运输</w:t>
      </w:r>
      <w:bookmarkEnd w:id="81"/>
    </w:p>
    <w:p w14:paraId="0D8C035F">
      <w:pPr>
        <w:bidi w:val="0"/>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运输车厢底板应平整无尖锐凸起；吊装宜使用柔性吊带，不应直接用钢丝绳捆扎管材；长途运输宜全覆盖防雨防晒篷布。</w:t>
      </w:r>
    </w:p>
    <w:p w14:paraId="7E428186">
      <w:pPr>
        <w:pStyle w:val="108"/>
        <w:spacing w:before="120" w:after="120"/>
        <w:rPr>
          <w:rFonts w:hint="eastAsia" w:ascii="黑体" w:hAnsi="黑体" w:eastAsia="黑体" w:cs="黑体"/>
          <w:sz w:val="21"/>
          <w:lang w:val="en-US" w:eastAsia="zh-CN" w:bidi="ar-SA"/>
        </w:rPr>
      </w:pPr>
      <w:bookmarkStart w:id="82" w:name="_Toc19944"/>
      <w:r>
        <w:rPr>
          <w:rFonts w:hint="eastAsia" w:ascii="黑体" w:hAnsi="黑体" w:eastAsia="黑体" w:cs="黑体"/>
          <w:sz w:val="21"/>
          <w:lang w:val="en-US" w:eastAsia="zh-CN" w:bidi="ar-SA"/>
        </w:rPr>
        <w:t>贮存</w:t>
      </w:r>
      <w:bookmarkEnd w:id="82"/>
    </w:p>
    <w:p w14:paraId="67D4CB07">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8.4.1 成品仓储场地应通风干燥，仓库环境温度不宜高于40℃。</w:t>
      </w:r>
    </w:p>
    <w:p w14:paraId="3C3484C5">
      <w:pPr>
        <w:bidi w:val="0"/>
        <w:spacing w:line="240" w:lineRule="auto"/>
        <w:rPr>
          <w:rFonts w:hint="eastAsia" w:ascii="宋体" w:hAnsi="宋体" w:eastAsia="宋体" w:cs="宋体"/>
          <w:lang w:val="en-US" w:eastAsia="zh-CN"/>
        </w:rPr>
      </w:pPr>
      <w:r>
        <w:rPr>
          <w:rFonts w:hint="eastAsia" w:ascii="宋体" w:hAnsi="宋体" w:eastAsia="宋体" w:cs="宋体"/>
          <w:lang w:val="en-US" w:eastAsia="zh-CN"/>
        </w:rPr>
        <w:t>8.4.2 管材露天堆放时长不宜超过30d，若需长期露天存放，宜搭设或覆盖遮光防雨防护设施；堆放高度应符合以下要求：公称外径≤200mm时，堆高不应超过1.5m；公称外径＞200mm时，堆高不应超过1.0m。</w:t>
      </w:r>
    </w:p>
    <w:p w14:paraId="25B7D175">
      <w:pPr>
        <w:bidi w:val="0"/>
        <w:spacing w:line="240" w:lineRule="auto"/>
        <w:ind w:firstLine="420" w:firstLineChars="200"/>
        <w:rPr>
          <w:rFonts w:hint="eastAsia" w:ascii="宋体" w:hAnsi="宋体" w:eastAsia="宋体" w:cs="宋体"/>
          <w:lang w:val="en-US" w:eastAsia="zh-CN"/>
        </w:rPr>
      </w:pPr>
      <w:bookmarkStart w:id="83" w:name="_Toc13508"/>
      <w:bookmarkEnd w:id="83"/>
    </w:p>
    <w:p w14:paraId="78126339">
      <w:pPr>
        <w:bidi w:val="0"/>
        <w:spacing w:line="240" w:lineRule="auto"/>
        <w:ind w:firstLine="420" w:firstLineChars="200"/>
        <w:rPr>
          <w:rFonts w:hint="eastAsia" w:ascii="宋体" w:hAnsi="宋体" w:eastAsia="宋体" w:cs="宋体"/>
          <w:lang w:val="en-US" w:eastAsia="zh-CN"/>
        </w:rPr>
      </w:pPr>
    </w:p>
    <w:p w14:paraId="3B5DB302">
      <w:pPr>
        <w:bidi w:val="0"/>
        <w:spacing w:line="240" w:lineRule="auto"/>
        <w:ind w:firstLine="420" w:firstLineChars="200"/>
        <w:rPr>
          <w:rFonts w:hint="eastAsia" w:ascii="宋体" w:hAnsi="宋体" w:eastAsia="宋体" w:cs="宋体"/>
          <w:lang w:val="en-US" w:eastAsia="zh-CN"/>
        </w:rPr>
      </w:pPr>
    </w:p>
    <w:bookmarkEnd w:id="4"/>
    <w:p w14:paraId="5D6800C2">
      <w:pPr>
        <w:pStyle w:val="235"/>
        <w:framePr w:wrap="around"/>
        <w:jc w:val="center"/>
        <w:rPr>
          <w:rFonts w:hint="default"/>
          <w:lang w:val="en-US" w:eastAsia="zh-CN"/>
        </w:rPr>
      </w:pPr>
      <w:r>
        <w:t>_________________________________</w:t>
      </w:r>
    </w:p>
    <w:sectPr>
      <w:footerReference r:id="rId12" w:type="default"/>
      <w:pgSz w:w="11906" w:h="16838"/>
      <w:pgMar w:top="1928" w:right="1134" w:bottom="1134" w:left="1134"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D1AD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2D55E">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2D55E">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rFonts w:hint="eastAsia" w:eastAsia="黑体"/>
        <w:sz w:val="21"/>
        <w:szCs w:val="21"/>
        <w:lang w:val="en-US" w:eastAsia="zh-CN"/>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文档中未找到关联章节样式</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56256"/>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2753F0"/>
    <w:rsid w:val="0248305A"/>
    <w:rsid w:val="0250735D"/>
    <w:rsid w:val="029124C9"/>
    <w:rsid w:val="03F31506"/>
    <w:rsid w:val="05D13019"/>
    <w:rsid w:val="06BD3950"/>
    <w:rsid w:val="06DF1D50"/>
    <w:rsid w:val="07340504"/>
    <w:rsid w:val="074339A9"/>
    <w:rsid w:val="07F567CA"/>
    <w:rsid w:val="082454D8"/>
    <w:rsid w:val="09D76A51"/>
    <w:rsid w:val="0A611458"/>
    <w:rsid w:val="0AB319EF"/>
    <w:rsid w:val="0C554996"/>
    <w:rsid w:val="0C734149"/>
    <w:rsid w:val="0CE65413"/>
    <w:rsid w:val="0D814026"/>
    <w:rsid w:val="0DA90E87"/>
    <w:rsid w:val="0DC73CDF"/>
    <w:rsid w:val="0FB22603"/>
    <w:rsid w:val="10A96AED"/>
    <w:rsid w:val="10DD651F"/>
    <w:rsid w:val="11466B07"/>
    <w:rsid w:val="11484B7B"/>
    <w:rsid w:val="11F72B09"/>
    <w:rsid w:val="121073DE"/>
    <w:rsid w:val="125405CA"/>
    <w:rsid w:val="1273042B"/>
    <w:rsid w:val="12B969E9"/>
    <w:rsid w:val="13951B3B"/>
    <w:rsid w:val="13E25209"/>
    <w:rsid w:val="15C41AB6"/>
    <w:rsid w:val="172E656B"/>
    <w:rsid w:val="173B2048"/>
    <w:rsid w:val="17FA6EAF"/>
    <w:rsid w:val="18FF7BF6"/>
    <w:rsid w:val="1963203F"/>
    <w:rsid w:val="19A8238A"/>
    <w:rsid w:val="1C1442B7"/>
    <w:rsid w:val="1C694603"/>
    <w:rsid w:val="1CB74301"/>
    <w:rsid w:val="1D95247B"/>
    <w:rsid w:val="1DEB6009"/>
    <w:rsid w:val="1F4A70FD"/>
    <w:rsid w:val="200E40BC"/>
    <w:rsid w:val="2099237C"/>
    <w:rsid w:val="228D3E7A"/>
    <w:rsid w:val="233153C5"/>
    <w:rsid w:val="246A441E"/>
    <w:rsid w:val="247A76EA"/>
    <w:rsid w:val="25432329"/>
    <w:rsid w:val="25E42FB4"/>
    <w:rsid w:val="26AD1FB3"/>
    <w:rsid w:val="26BB1499"/>
    <w:rsid w:val="26CF7759"/>
    <w:rsid w:val="272874A9"/>
    <w:rsid w:val="27BC1FA7"/>
    <w:rsid w:val="283332DA"/>
    <w:rsid w:val="2874680A"/>
    <w:rsid w:val="28DD1D9B"/>
    <w:rsid w:val="290047DB"/>
    <w:rsid w:val="291F0542"/>
    <w:rsid w:val="294D78C7"/>
    <w:rsid w:val="29BB5003"/>
    <w:rsid w:val="2D88542E"/>
    <w:rsid w:val="2E0067B1"/>
    <w:rsid w:val="2E1D6D74"/>
    <w:rsid w:val="300761B5"/>
    <w:rsid w:val="3029746C"/>
    <w:rsid w:val="30CD7FF2"/>
    <w:rsid w:val="30FA5A12"/>
    <w:rsid w:val="31530D40"/>
    <w:rsid w:val="32523AAD"/>
    <w:rsid w:val="32592EEF"/>
    <w:rsid w:val="32A978B2"/>
    <w:rsid w:val="32B819E9"/>
    <w:rsid w:val="32BE2B5E"/>
    <w:rsid w:val="33203C6F"/>
    <w:rsid w:val="35E328D9"/>
    <w:rsid w:val="370C4202"/>
    <w:rsid w:val="37815996"/>
    <w:rsid w:val="37842B42"/>
    <w:rsid w:val="37D90437"/>
    <w:rsid w:val="38521299"/>
    <w:rsid w:val="38D11273"/>
    <w:rsid w:val="39687A37"/>
    <w:rsid w:val="3A3556CD"/>
    <w:rsid w:val="3A96472B"/>
    <w:rsid w:val="3B00217F"/>
    <w:rsid w:val="3B1874C8"/>
    <w:rsid w:val="3C053706"/>
    <w:rsid w:val="3C425A6B"/>
    <w:rsid w:val="3C5E0F0B"/>
    <w:rsid w:val="3C842FA3"/>
    <w:rsid w:val="3CCF1E09"/>
    <w:rsid w:val="3D393726"/>
    <w:rsid w:val="3D8E3A72"/>
    <w:rsid w:val="3E0B2DFF"/>
    <w:rsid w:val="3E511436"/>
    <w:rsid w:val="3EA42E61"/>
    <w:rsid w:val="3F64609F"/>
    <w:rsid w:val="41847666"/>
    <w:rsid w:val="41E225DE"/>
    <w:rsid w:val="41E714BD"/>
    <w:rsid w:val="454848B8"/>
    <w:rsid w:val="462D2C94"/>
    <w:rsid w:val="467001B9"/>
    <w:rsid w:val="46731392"/>
    <w:rsid w:val="47FE103D"/>
    <w:rsid w:val="48926E17"/>
    <w:rsid w:val="48961A2D"/>
    <w:rsid w:val="48D72771"/>
    <w:rsid w:val="48EC5B2F"/>
    <w:rsid w:val="493868A9"/>
    <w:rsid w:val="49E625A7"/>
    <w:rsid w:val="4A4E5BB5"/>
    <w:rsid w:val="4A9F11A1"/>
    <w:rsid w:val="4AF56684"/>
    <w:rsid w:val="4C1B1639"/>
    <w:rsid w:val="4D2515D1"/>
    <w:rsid w:val="4E3C7A50"/>
    <w:rsid w:val="4F5A5E19"/>
    <w:rsid w:val="4F66583F"/>
    <w:rsid w:val="51E67581"/>
    <w:rsid w:val="527267F2"/>
    <w:rsid w:val="532F0EE1"/>
    <w:rsid w:val="53886733"/>
    <w:rsid w:val="55067F3A"/>
    <w:rsid w:val="553D7E00"/>
    <w:rsid w:val="558F5D5E"/>
    <w:rsid w:val="55E31AFA"/>
    <w:rsid w:val="56142799"/>
    <w:rsid w:val="56523435"/>
    <w:rsid w:val="56974D41"/>
    <w:rsid w:val="56F978F7"/>
    <w:rsid w:val="574A05B2"/>
    <w:rsid w:val="57C40382"/>
    <w:rsid w:val="588C0F63"/>
    <w:rsid w:val="590961FC"/>
    <w:rsid w:val="5ADA376B"/>
    <w:rsid w:val="5B0E5A1D"/>
    <w:rsid w:val="5B2B4256"/>
    <w:rsid w:val="5D0968B1"/>
    <w:rsid w:val="5D156F6C"/>
    <w:rsid w:val="5D7879F0"/>
    <w:rsid w:val="5EB7760C"/>
    <w:rsid w:val="5F0759F1"/>
    <w:rsid w:val="604F4E8B"/>
    <w:rsid w:val="614918DA"/>
    <w:rsid w:val="62130050"/>
    <w:rsid w:val="6242450E"/>
    <w:rsid w:val="62A849B5"/>
    <w:rsid w:val="6A975974"/>
    <w:rsid w:val="6A991B4E"/>
    <w:rsid w:val="6B7B1AB7"/>
    <w:rsid w:val="6B9D229A"/>
    <w:rsid w:val="6BAC3191"/>
    <w:rsid w:val="6E0D32E8"/>
    <w:rsid w:val="6E426D96"/>
    <w:rsid w:val="6EB16D05"/>
    <w:rsid w:val="6F3C104B"/>
    <w:rsid w:val="6F7246F2"/>
    <w:rsid w:val="6F77137F"/>
    <w:rsid w:val="718F134F"/>
    <w:rsid w:val="719647CC"/>
    <w:rsid w:val="72596DDD"/>
    <w:rsid w:val="72BB3A37"/>
    <w:rsid w:val="739D19BD"/>
    <w:rsid w:val="73AC7AA8"/>
    <w:rsid w:val="74897203"/>
    <w:rsid w:val="74AF784E"/>
    <w:rsid w:val="74FC77C0"/>
    <w:rsid w:val="75D829C3"/>
    <w:rsid w:val="75EA1C4F"/>
    <w:rsid w:val="76713F77"/>
    <w:rsid w:val="78295334"/>
    <w:rsid w:val="79B53B59"/>
    <w:rsid w:val="7A392094"/>
    <w:rsid w:val="7AF0771F"/>
    <w:rsid w:val="7B98103C"/>
    <w:rsid w:val="7BF94115"/>
    <w:rsid w:val="7C8C3866"/>
    <w:rsid w:val="7D413817"/>
    <w:rsid w:val="7D474461"/>
    <w:rsid w:val="7DCB092C"/>
    <w:rsid w:val="7E2C6520"/>
    <w:rsid w:val="7F622EF2"/>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275</Words>
  <Characters>414</Characters>
  <Lines>45</Lines>
  <Paragraphs>12</Paragraphs>
  <TotalTime>30</TotalTime>
  <ScaleCrop>false</ScaleCrop>
  <LinksUpToDate>false</LinksUpToDate>
  <CharactersWithSpaces>537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J</cp:lastModifiedBy>
  <cp:lastPrinted>2025-01-06T08:01:00Z</cp:lastPrinted>
  <dcterms:modified xsi:type="dcterms:W3CDTF">2026-07-02T07:30:02Z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2052-12.1.0.26884</vt:lpwstr>
  </property>
  <property fmtid="{D5CDD505-2E9C-101B-9397-08002B2CF9AE}" pid="15" name="ICV">
    <vt:lpwstr>5AA6B15EDD30476DB2971826BA44B7C4_13</vt:lpwstr>
  </property>
  <property fmtid="{D5CDD505-2E9C-101B-9397-08002B2CF9AE}" pid="16" name="KSOTemplateDocerSaveRecord">
    <vt:lpwstr>eyJoZGlkIjoiOWQ4ZGY3ZTZlYTg3MDY1ZDA4ZTQ3Y2RhYWYyZThkZDUiLCJ1c2VySWQiOiIzMjQ1OTgwNzkifQ==</vt:lpwstr>
  </property>
</Properties>
</file>