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1B5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20DF163">
            <w:pPr>
              <w:pStyle w:val="18"/>
              <w:framePr w:wrap="notBeside" w:vAnchor="page" w:hAnchor="page" w:x="1385" w:y="155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BF218FD">
            <w:pPr>
              <w:pStyle w:val="18"/>
              <w:framePr w:wrap="notBeside" w:vAnchor="page" w:hAnchor="page" w:x="1385" w:y="155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35.240.60</w:t>
            </w:r>
            <w:r>
              <w:rPr>
                <w:rFonts w:ascii="黑体" w:hAnsi="黑体" w:eastAsia="黑体"/>
                <w:sz w:val="21"/>
                <w:szCs w:val="21"/>
              </w:rPr>
              <w:fldChar w:fldCharType="end"/>
            </w:r>
            <w:bookmarkEnd w:id="0"/>
          </w:p>
        </w:tc>
      </w:tr>
      <w:tr w14:paraId="4629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A22A8E1">
            <w:pPr>
              <w:pStyle w:val="18"/>
              <w:framePr w:wrap="notBeside" w:vAnchor="page" w:hAnchor="page" w:x="1385" w:y="155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4589A70">
            <w:pPr>
              <w:pStyle w:val="18"/>
              <w:framePr w:wrap="notBeside" w:vAnchor="page" w:hAnchor="page" w:x="1385" w:y="155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L 70</w:t>
            </w:r>
            <w:r>
              <w:rPr>
                <w:rFonts w:ascii="黑体" w:hAnsi="黑体" w:eastAsia="黑体"/>
                <w:sz w:val="21"/>
                <w:szCs w:val="21"/>
              </w:rPr>
              <w:fldChar w:fldCharType="end"/>
            </w:r>
            <w:bookmarkEnd w:id="1"/>
          </w:p>
        </w:tc>
      </w:tr>
    </w:tbl>
    <w:p w14:paraId="19ADB893">
      <w:pPr>
        <w:pStyle w:val="50"/>
        <w:framePr w:h="1196" w:hRule="exact" w:hSpace="181" w:vSpace="181" w:wrap="around" w:vAnchor="page" w:hAnchor="page" w:x="1272" w:y="2347"/>
        <w:pBdr>
          <w:top w:val="none" w:color="auto" w:sz="0" w:space="0"/>
          <w:left w:val="none" w:color="auto" w:sz="0" w:space="0"/>
          <w:bottom w:val="none" w:color="auto" w:sz="0" w:space="0"/>
          <w:right w:val="none" w:color="auto" w:sz="0" w:space="0"/>
        </w:pBdr>
        <w:rPr>
          <w:rFonts w:hint="eastAsia" w:ascii="黑体" w:hAnsi="黑体" w:eastAsia="黑体"/>
          <w:b/>
          <w:bCs w:val="0"/>
          <w:w w:val="100"/>
          <w:sz w:val="84"/>
          <w:szCs w:val="84"/>
        </w:rPr>
      </w:pPr>
      <w:bookmarkStart w:id="2" w:name="_Hlk26473981"/>
      <w:r>
        <w:rPr>
          <w:rFonts w:hint="eastAsia" w:ascii="黑体" w:eastAsia="黑体"/>
          <w:b/>
          <w:bCs w:val="0"/>
          <w:w w:val="100"/>
          <w:sz w:val="84"/>
          <w:szCs w:val="84"/>
        </w:rPr>
        <w:t>团体</w:t>
      </w:r>
      <w:r>
        <w:rPr>
          <w:rFonts w:hint="eastAsia" w:ascii="黑体" w:hAnsi="黑体" w:eastAsia="黑体"/>
          <w:b/>
          <w:bCs w:val="0"/>
          <w:w w:val="100"/>
          <w:sz w:val="84"/>
          <w:szCs w:val="84"/>
        </w:rPr>
        <w:t>标准</w:t>
      </w:r>
      <w:bookmarkEnd w:id="2"/>
    </w:p>
    <w:p w14:paraId="02A3C7ED">
      <w:pPr>
        <w:pStyle w:val="195"/>
        <w:framePr w:x="1462" w:y="3974"/>
      </w:pPr>
      <w:r>
        <w:t>T/</w:t>
      </w:r>
      <w:bookmarkStart w:id="3"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bookmarkStart w:id="5"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2026</w:t>
      </w:r>
      <w:r>
        <w:rPr>
          <w:rFonts w:ascii="黑体" w:hAnsi="Times New Roman" w:eastAsia="黑体" w:cs="Times New Roman"/>
          <w:bCs/>
          <w:sz w:val="28"/>
          <w:szCs w:val="28"/>
          <w:lang w:val="en-US" w:eastAsia="zh-CN" w:bidi="ar-SA"/>
        </w:rPr>
        <w:fldChar w:fldCharType="end"/>
      </w:r>
      <w:bookmarkEnd w:id="5"/>
    </w:p>
    <w:p w14:paraId="60398F9C">
      <w:pPr>
        <w:pStyle w:val="196"/>
        <w:framePr w:x="1462" w:y="3974"/>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17C660D2">
      <w:pPr>
        <w:framePr w:w="904" w:h="1540" w:hRule="exact" w:wrap="around" w:vAnchor="page" w:hAnchor="page" w:x="9165" w:y="15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79D50277">
      <w:pPr>
        <w:spacing w:line="240" w:lineRule="auto"/>
        <w:rPr>
          <w:rFonts w:hint="eastAsia" w:ascii="黑体" w:hAnsi="黑体" w:eastAsia="黑体"/>
          <w:kern w:val="0"/>
          <w:sz w:val="10"/>
          <w:szCs w:val="10"/>
        </w:rPr>
      </w:pPr>
    </w:p>
    <w:p w14:paraId="75BAB178">
      <w:pPr>
        <w:pStyle w:val="50"/>
        <w:framePr w:w="9639" w:h="6976" w:hRule="exact" w:hSpace="0" w:vSpace="0" w:wrap="around" w:hAnchor="page" w:y="6408"/>
        <w:jc w:val="center"/>
        <w:rPr>
          <w:rFonts w:hint="eastAsia" w:ascii="黑体" w:hAnsi="黑体" w:eastAsia="黑体"/>
          <w:b w:val="0"/>
          <w:bCs w:val="0"/>
          <w:w w:val="100"/>
        </w:rPr>
      </w:pPr>
    </w:p>
    <w:p w14:paraId="16372D13">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电子商务人工智能应用技术规范</w:t>
      </w:r>
      <w:r>
        <w:fldChar w:fldCharType="end"/>
      </w:r>
      <w:bookmarkEnd w:id="7"/>
    </w:p>
    <w:p w14:paraId="5DC8FBB5">
      <w:pPr>
        <w:framePr w:w="9639" w:h="6974" w:hRule="exact" w:wrap="around" w:vAnchor="page" w:hAnchor="page" w:x="1419" w:y="6408" w:anchorLock="1"/>
        <w:ind w:left="-1418"/>
      </w:pPr>
    </w:p>
    <w:p w14:paraId="65BD1EB3">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artificial intelligence application in electronic commerce</w:t>
      </w:r>
      <w:r>
        <w:rPr>
          <w:rFonts w:eastAsia="黑体"/>
          <w:szCs w:val="28"/>
        </w:rPr>
        <w:fldChar w:fldCharType="end"/>
      </w:r>
      <w:bookmarkEnd w:id="8"/>
    </w:p>
    <w:p w14:paraId="6C3A78B1">
      <w:pPr>
        <w:framePr w:w="9639" w:h="6974" w:hRule="exact" w:wrap="around" w:vAnchor="page" w:hAnchor="page" w:x="1419" w:y="6408" w:anchorLock="1"/>
        <w:pBdr>
          <w:top w:val="none" w:sz="0" w:space="0"/>
          <w:left w:val="none" w:sz="0" w:space="0"/>
          <w:bottom w:val="none" w:sz="0" w:space="0"/>
          <w:right w:val="none" w:sz="0" w:space="0"/>
        </w:pBdr>
        <w:spacing w:line="760" w:lineRule="exact"/>
        <w:ind w:left="-1418"/>
      </w:pPr>
    </w:p>
    <w:p w14:paraId="51D6DC40">
      <w:pPr>
        <w:pStyle w:val="125"/>
        <w:framePr w:w="9639" w:h="6974" w:hRule="exact" w:wrap="around" w:vAnchor="page" w:hAnchor="page" w:x="1419" w:y="6408" w:anchorLock="1"/>
        <w:pBdr>
          <w:top w:val="none" w:sz="0" w:space="0"/>
          <w:left w:val="none" w:sz="0" w:space="0"/>
          <w:bottom w:val="none" w:sz="0" w:space="0"/>
          <w:right w:val="none" w:sz="0" w:space="0"/>
        </w:pBdr>
        <w:textAlignment w:val="bottom"/>
        <w:rPr>
          <w:rFonts w:eastAsia="黑体"/>
          <w:szCs w:val="28"/>
        </w:rPr>
      </w:pPr>
    </w:p>
    <w:p w14:paraId="13589D49">
      <w:pPr>
        <w:pStyle w:val="125"/>
        <w:framePr w:w="9639" w:h="6974" w:hRule="exact" w:wrap="around" w:vAnchor="page" w:hAnchor="page" w:x="1419" w:y="6408" w:anchorLock="1"/>
        <w:pBdr>
          <w:top w:val="none" w:sz="0" w:space="0"/>
          <w:left w:val="none" w:sz="0" w:space="0"/>
          <w:bottom w:val="none" w:sz="0" w:space="0"/>
          <w:right w:val="none" w:sz="0" w:space="0"/>
        </w:pBdr>
        <w:spacing w:before="440" w:after="160"/>
        <w:textAlignment w:val="bottom"/>
        <w:rPr>
          <w:sz w:val="24"/>
          <w:szCs w:val="28"/>
        </w:rPr>
      </w:pPr>
      <w:r>
        <w:rPr>
          <w:rFonts w:hint="eastAsia" w:ascii="黑体" w:hAnsi="黑体" w:eastAsia="黑体" w:cs="黑体"/>
          <w:sz w:val="44"/>
          <w:szCs w:val="44"/>
          <w:lang w:val="en-US" w:eastAsia="zh-CN"/>
        </w:rPr>
        <w:t>（征求意见稿）</w:t>
      </w:r>
    </w:p>
    <w:p w14:paraId="1AC7488A">
      <w:pPr>
        <w:pStyle w:val="125"/>
        <w:framePr w:w="9639" w:h="6974" w:hRule="exact" w:wrap="around" w:vAnchor="page" w:hAnchor="page" w:x="1419" w:y="6408" w:anchorLock="1"/>
        <w:textAlignment w:val="bottom"/>
        <w:rPr>
          <w:rFonts w:eastAsia="黑体"/>
          <w:szCs w:val="28"/>
        </w:rPr>
      </w:pPr>
    </w:p>
    <w:p w14:paraId="187766B3">
      <w:pPr>
        <w:pStyle w:val="193"/>
        <w:framePr w:wrap="around" w:y="14176"/>
      </w:pPr>
      <w:bookmarkStart w:id="9" w:name="PLSH_DATE_Y"/>
      <w:r>
        <w:rPr>
          <w:rFonts w:ascii="黑体" w:hAnsi="Times New Roman" w:eastAsia="黑体" w:cs="Times New Roman"/>
          <w:sz w:val="28"/>
          <w:lang w:val="en-US" w:eastAsia="zh-CN" w:bidi="ar-SA"/>
        </w:rPr>
        <w:fldChar w:fldCharType="begin">
          <w:ffData>
            <w:name w:val="PLSH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37ABA477">
      <w:pPr>
        <w:pStyle w:val="194"/>
        <w:framePr w:wrap="around" w:y="14176"/>
      </w:pPr>
      <w:bookmarkStart w:id="12" w:name="CROT_DATE_Y"/>
      <w:r>
        <w:rPr>
          <w:rFonts w:ascii="黑体" w:hAnsi="Times New Roman" w:eastAsia="黑体" w:cs="Times New Roman"/>
          <w:sz w:val="28"/>
          <w:lang w:val="en-US" w:eastAsia="zh-CN" w:bidi="ar-SA"/>
        </w:rPr>
        <w:fldChar w:fldCharType="begin">
          <w:ffData>
            <w:name w:val="CROT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27294EC2">
      <w:pPr>
        <w:pStyle w:val="151"/>
        <w:framePr w:h="584" w:hRule="exact" w:hSpace="181" w:vSpace="181" w:wrap="around" w:vAnchor="page" w:hAnchor="page" w:x="2393" w:y="14812"/>
        <w:rPr>
          <w:rFonts w:hint="eastAsia" w:hAnsi="黑体"/>
        </w:rPr>
      </w:pPr>
      <w:r>
        <w:rPr>
          <w:rFonts w:hint="eastAsia" w:ascii="隶属" w:hAnsi="隶属" w:eastAsia="隶属" w:cs="隶属"/>
          <w:b/>
          <w:bCs/>
          <w:w w:val="100"/>
          <w:sz w:val="48"/>
          <w:szCs w:val="48"/>
        </w:rPr>
        <w:t>中国西部开发促进会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A047DDF">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814705</wp:posOffset>
                </wp:positionH>
                <wp:positionV relativeFrom="page">
                  <wp:posOffset>2995930</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4.15pt;margin-top:235.9pt;height:0pt;width:481.9pt;mso-position-horizontal-relative:page;mso-position-vertical-relative:page;z-index:251659264;mso-width-relative:page;mso-height-relative:page;" filled="f" stroked="t" coordsize="21600,21600" o:allowoverlap="f" o:gfxdata="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2wK7/XAAAA&#10;DAEAAA8AAAAAAAAAAQAgAAAAIgAAAGRycy9kb3ducmV2LnhtbFBLAQIUABQAAAAIAIdO4kC74Mpm&#10;5QEAAKwDAAAOAAAAAAAAAAEAIAAAACYBAABkcnMvZTJvRG9jLnhtbFBLBQYAAAAABgAGAFkBAAB9&#10;BQAAAAA=&#10;">
                <v:fill on="f" focussize="0,0"/>
                <v:stroke color="#000000" joinstyle="round"/>
                <v:imagedata o:title=""/>
                <o:lock v:ext="edit" aspectratio="f"/>
              </v:line>
            </w:pict>
          </mc:Fallback>
        </mc:AlternateContent>
      </w: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329CE28">
      <w:pPr>
        <w:pStyle w:val="91"/>
        <w:spacing w:after="360"/>
      </w:pPr>
      <w:bookmarkStart w:id="15" w:name="BookMark1"/>
      <w:r>
        <w:rPr>
          <w:rFonts w:hint="eastAsia"/>
          <w:spacing w:val="320"/>
        </w:rPr>
        <w:t>目</w:t>
      </w:r>
      <w:r>
        <w:rPr>
          <w:rFonts w:hint="eastAsia"/>
        </w:rPr>
        <w:t>次</w:t>
      </w:r>
    </w:p>
    <w:p w14:paraId="466F2AD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"_Toc230189906"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_Toc230189906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1CC889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"_Toc230189907"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_Toc230189907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EA047E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"_Toc230189908"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_Toc230189908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5F2E38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"_Toc230189909"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_Toc230189909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20F628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"_Toc230189910" </w:instrText>
      </w:r>
      <w:r>
        <w:fldChar w:fldCharType="separate"/>
      </w:r>
      <w:r>
        <w:rPr>
          <w:rStyle w:val="32"/>
          <w:rFonts w:hint="eastAsia"/>
        </w:rPr>
        <w:t>4</w:t>
      </w:r>
      <w:r>
        <w:rPr>
          <w:rStyle w:val="32"/>
        </w:rPr>
        <w:t xml:space="preserve"> </w:t>
      </w:r>
      <w:r>
        <w:rPr>
          <w:rStyle w:val="32"/>
          <w:rFonts w:hint="eastAsia"/>
        </w:rPr>
        <w:t xml:space="preserve"> 缩略语</w:t>
      </w:r>
      <w:r>
        <w:rPr>
          <w:rFonts w:hint="eastAsia"/>
        </w:rPr>
        <w:tab/>
      </w:r>
      <w:r>
        <w:rPr>
          <w:rFonts w:hint="eastAsia"/>
        </w:rPr>
        <w:fldChar w:fldCharType="begin"/>
      </w:r>
      <w:r>
        <w:rPr>
          <w:rFonts w:hint="eastAsia"/>
        </w:rPr>
        <w:instrText xml:space="preserve"> </w:instrText>
      </w:r>
      <w:r>
        <w:instrText xml:space="preserve">PAGEREF _Toc230189910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343762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"_Toc230189911" </w:instrText>
      </w:r>
      <w:r>
        <w:fldChar w:fldCharType="separate"/>
      </w:r>
      <w:r>
        <w:rPr>
          <w:rStyle w:val="32"/>
          <w:rFonts w:hint="eastAsia"/>
        </w:rPr>
        <w:t>5</w:t>
      </w:r>
      <w:r>
        <w:rPr>
          <w:rStyle w:val="32"/>
        </w:rPr>
        <w:t xml:space="preserve"> </w:t>
      </w:r>
      <w:r>
        <w:rPr>
          <w:rStyle w:val="32"/>
          <w:rFonts w:hint="eastAsia"/>
        </w:rPr>
        <w:t xml:space="preserve"> 技术架构</w:t>
      </w:r>
      <w:r>
        <w:rPr>
          <w:rFonts w:hint="eastAsia"/>
        </w:rPr>
        <w:tab/>
      </w:r>
      <w:r>
        <w:rPr>
          <w:rFonts w:hint="eastAsia"/>
        </w:rPr>
        <w:fldChar w:fldCharType="begin"/>
      </w:r>
      <w:r>
        <w:rPr>
          <w:rFonts w:hint="eastAsia"/>
        </w:rPr>
        <w:instrText xml:space="preserve"> </w:instrText>
      </w:r>
      <w:r>
        <w:instrText xml:space="preserve">PAGEREF _Toc230189911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E18E7A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"_Toc230189912" </w:instrText>
      </w:r>
      <w:r>
        <w:fldChar w:fldCharType="separate"/>
      </w:r>
      <w:r>
        <w:rPr>
          <w:rStyle w:val="32"/>
          <w:rFonts w:hint="eastAsia"/>
        </w:rPr>
        <w:t>6</w:t>
      </w:r>
      <w:r>
        <w:rPr>
          <w:rStyle w:val="32"/>
        </w:rPr>
        <w:t xml:space="preserve"> </w:t>
      </w:r>
      <w:r>
        <w:rPr>
          <w:rStyle w:val="32"/>
          <w:rFonts w:hint="eastAsia"/>
        </w:rPr>
        <w:t xml:space="preserve"> 数据与模型要求</w:t>
      </w:r>
      <w:r>
        <w:rPr>
          <w:rFonts w:hint="eastAsia"/>
        </w:rPr>
        <w:tab/>
      </w:r>
      <w:r>
        <w:rPr>
          <w:rFonts w:hint="eastAsia"/>
        </w:rPr>
        <w:fldChar w:fldCharType="begin"/>
      </w:r>
      <w:r>
        <w:rPr>
          <w:rFonts w:hint="eastAsia"/>
        </w:rPr>
        <w:instrText xml:space="preserve"> </w:instrText>
      </w:r>
      <w:r>
        <w:instrText xml:space="preserve">PAGEREF _Toc230189912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C7C971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"_Toc230189913" </w:instrText>
      </w:r>
      <w:r>
        <w:fldChar w:fldCharType="separate"/>
      </w:r>
      <w:r>
        <w:rPr>
          <w:rStyle w:val="32"/>
          <w:rFonts w:hint="eastAsia"/>
        </w:rPr>
        <w:t>7</w:t>
      </w:r>
      <w:r>
        <w:rPr>
          <w:rStyle w:val="32"/>
        </w:rPr>
        <w:t xml:space="preserve"> </w:t>
      </w:r>
      <w:r>
        <w:rPr>
          <w:rStyle w:val="32"/>
          <w:rFonts w:hint="eastAsia"/>
        </w:rPr>
        <w:t xml:space="preserve"> 应用功能要求</w:t>
      </w:r>
      <w:r>
        <w:rPr>
          <w:rFonts w:hint="eastAsia"/>
        </w:rPr>
        <w:tab/>
      </w:r>
      <w:r>
        <w:rPr>
          <w:rFonts w:hint="eastAsia"/>
        </w:rPr>
        <w:fldChar w:fldCharType="begin"/>
      </w:r>
      <w:r>
        <w:rPr>
          <w:rFonts w:hint="eastAsia"/>
        </w:rPr>
        <w:instrText xml:space="preserve"> </w:instrText>
      </w:r>
      <w:r>
        <w:instrText xml:space="preserve">PAGEREF _Toc230189913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2BD0C8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"_Toc230189914" </w:instrText>
      </w:r>
      <w:r>
        <w:fldChar w:fldCharType="separate"/>
      </w:r>
      <w:r>
        <w:rPr>
          <w:rStyle w:val="32"/>
          <w:rFonts w:hint="eastAsia"/>
        </w:rPr>
        <w:t>8</w:t>
      </w:r>
      <w:r>
        <w:rPr>
          <w:rStyle w:val="32"/>
        </w:rPr>
        <w:t xml:space="preserve"> </w:t>
      </w:r>
      <w:r>
        <w:rPr>
          <w:rStyle w:val="32"/>
          <w:rFonts w:hint="eastAsia"/>
        </w:rPr>
        <w:t xml:space="preserve"> 安全与合规要求</w:t>
      </w:r>
      <w:r>
        <w:rPr>
          <w:rFonts w:hint="eastAsia"/>
        </w:rPr>
        <w:tab/>
      </w:r>
      <w:r>
        <w:rPr>
          <w:rFonts w:hint="eastAsia"/>
        </w:rPr>
        <w:fldChar w:fldCharType="begin"/>
      </w:r>
      <w:r>
        <w:rPr>
          <w:rFonts w:hint="eastAsia"/>
        </w:rPr>
        <w:instrText xml:space="preserve"> </w:instrText>
      </w:r>
      <w:r>
        <w:instrText xml:space="preserve">PAGEREF _Toc230189914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7415052">
      <w:pPr>
        <w:pStyle w:val="91"/>
        <w:spacing w:after="360"/>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linePitch="312" w:charSpace="0"/>
        </w:sectPr>
      </w:pPr>
      <w:r>
        <w:fldChar w:fldCharType="end"/>
      </w:r>
      <w:bookmarkStart w:id="49" w:name="_GoBack"/>
      <w:bookmarkEnd w:id="49"/>
    </w:p>
    <w:bookmarkEnd w:id="15"/>
    <w:p w14:paraId="099FD4B1">
      <w:pPr>
        <w:pStyle w:val="89"/>
        <w:spacing w:before="900" w:after="360"/>
      </w:pPr>
      <w:bookmarkStart w:id="16" w:name="_Toc230189906"/>
      <w:bookmarkStart w:id="17" w:name="BookMark2"/>
      <w:r>
        <w:rPr>
          <w:rFonts w:hint="eastAsia"/>
          <w:spacing w:val="320"/>
        </w:rPr>
        <w:t>前</w:t>
      </w:r>
      <w:r>
        <w:rPr>
          <w:rFonts w:hint="eastAsia"/>
        </w:rPr>
        <w:t>言</w:t>
      </w:r>
      <w:bookmarkEnd w:id="16"/>
    </w:p>
    <w:p w14:paraId="50341F38">
      <w:pPr>
        <w:pStyle w:val="56"/>
        <w:ind w:firstLine="420"/>
      </w:pPr>
      <w:r>
        <w:rPr>
          <w:rFonts w:hint="eastAsia"/>
        </w:rPr>
        <w:t>本文件按照GB/T 1.1—2020《标准化工作导则  第1部分：标准化文件的结构和起草规则》的规定起草。</w:t>
      </w:r>
    </w:p>
    <w:p w14:paraId="2CD784DF">
      <w:pPr>
        <w:pStyle w:val="56"/>
        <w:ind w:firstLine="420"/>
      </w:pPr>
      <w:r>
        <w:rPr>
          <w:rFonts w:hint="eastAsia"/>
        </w:rPr>
        <w:t>请注意本文件的某些内容可能涉及专利。本文件的发布机构不承担识别专利的责任。</w:t>
      </w:r>
    </w:p>
    <w:p w14:paraId="3A0A2FE0">
      <w:pPr>
        <w:pStyle w:val="56"/>
        <w:ind w:firstLine="420"/>
      </w:pPr>
      <w:r>
        <w:rPr>
          <w:rFonts w:hint="eastAsia"/>
        </w:rPr>
        <w:t>本文件由浙江同济科技职业学院提出。</w:t>
      </w:r>
    </w:p>
    <w:p w14:paraId="05A59FBE">
      <w:pPr>
        <w:pStyle w:val="56"/>
        <w:ind w:firstLine="420"/>
      </w:pPr>
      <w:r>
        <w:rPr>
          <w:rFonts w:hint="eastAsia"/>
        </w:rPr>
        <w:t>本文件由中国西部开发促进会归口。</w:t>
      </w:r>
    </w:p>
    <w:p w14:paraId="6E263ADB">
      <w:pPr>
        <w:pStyle w:val="56"/>
        <w:ind w:firstLine="420"/>
        <w:rPr>
          <w:rFonts w:hint="eastAsia" w:eastAsia="宋体"/>
          <w:lang w:eastAsia="zh-CN"/>
        </w:rPr>
      </w:pPr>
      <w:r>
        <w:rPr>
          <w:rFonts w:hint="eastAsia"/>
        </w:rPr>
        <w:t>本文件起草单位：浙江同济科技职业学院</w:t>
      </w:r>
      <w:r>
        <w:rPr>
          <w:rFonts w:hint="eastAsia"/>
          <w:lang w:eastAsia="zh-CN"/>
        </w:rPr>
        <w:t>、广西制造工程职业技术学院、承德市人事培训考试中心。</w:t>
      </w:r>
    </w:p>
    <w:p w14:paraId="0127D2B8">
      <w:pPr>
        <w:pStyle w:val="56"/>
        <w:ind w:firstLine="420"/>
        <w:rPr>
          <w:rFonts w:hint="eastAsia" w:eastAsia="宋体"/>
          <w:lang w:eastAsia="zh-CN"/>
        </w:rPr>
      </w:pPr>
      <w:r>
        <w:rPr>
          <w:rFonts w:hint="eastAsia"/>
        </w:rPr>
        <w:t>本文件主要起草人：岳歆婷</w:t>
      </w:r>
      <w:r>
        <w:rPr>
          <w:rFonts w:hint="eastAsia"/>
          <w:lang w:eastAsia="zh-CN"/>
        </w:rPr>
        <w:t>、李嘉、李振兴。</w:t>
      </w:r>
    </w:p>
    <w:p w14:paraId="3B17F36F">
      <w:pPr>
        <w:pStyle w:val="56"/>
        <w:ind w:firstLine="420"/>
      </w:pPr>
    </w:p>
    <w:p w14:paraId="4E2680D2">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17"/>
    <w:p w14:paraId="295DA550">
      <w:pPr>
        <w:spacing w:line="20" w:lineRule="exact"/>
        <w:jc w:val="center"/>
        <w:rPr>
          <w:rFonts w:hint="eastAsia" w:ascii="黑体" w:hAnsi="黑体" w:eastAsia="黑体"/>
          <w:sz w:val="32"/>
          <w:szCs w:val="32"/>
        </w:rPr>
      </w:pPr>
      <w:bookmarkStart w:id="18" w:name="BookMark4"/>
    </w:p>
    <w:p w14:paraId="089BA49D">
      <w:pPr>
        <w:spacing w:line="20" w:lineRule="exact"/>
        <w:jc w:val="center"/>
        <w:rPr>
          <w:rFonts w:hint="eastAsia" w:ascii="黑体" w:hAnsi="黑体" w:eastAsia="黑体"/>
          <w:sz w:val="32"/>
          <w:szCs w:val="32"/>
        </w:rPr>
      </w:pPr>
    </w:p>
    <w:sdt>
      <w:sdtPr>
        <w:tag w:val="NEW_STAND_NAME"/>
        <w:id w:val="595910757"/>
        <w:lock w:val="sdtLocked"/>
        <w:placeholder>
          <w:docPart w:val="4A44F992ACAA48FABEAD61732F26F4BA"/>
        </w:placeholder>
      </w:sdtPr>
      <w:sdtContent>
        <w:p w14:paraId="5606D780">
          <w:pPr>
            <w:pStyle w:val="177"/>
            <w:spacing w:before="2" w:beforeLines="1" w:after="528" w:afterLines="220"/>
            <w:rPr>
              <w:rFonts w:hint="eastAsia"/>
            </w:rPr>
          </w:pPr>
          <w:bookmarkStart w:id="19" w:name="NEW_STAND_NAME"/>
          <w:r>
            <w:rPr>
              <w:rFonts w:hint="eastAsia"/>
            </w:rPr>
            <w:t>电子商务人工智能应用技术规范</w:t>
          </w:r>
        </w:p>
      </w:sdtContent>
    </w:sdt>
    <w:bookmarkEnd w:id="19"/>
    <w:p w14:paraId="5F8639BE">
      <w:pPr>
        <w:pStyle w:val="104"/>
        <w:spacing w:before="240" w:after="240"/>
      </w:pPr>
      <w:bookmarkStart w:id="20" w:name="_Toc26986530"/>
      <w:bookmarkStart w:id="21" w:name="_Toc97192964"/>
      <w:bookmarkStart w:id="22" w:name="_Toc17233325"/>
      <w:bookmarkStart w:id="23" w:name="_Toc17233333"/>
      <w:bookmarkStart w:id="24" w:name="_Toc26648465"/>
      <w:bookmarkStart w:id="25" w:name="_Toc24884211"/>
      <w:bookmarkStart w:id="26" w:name="_Toc26986771"/>
      <w:bookmarkStart w:id="27" w:name="_Toc24884218"/>
      <w:bookmarkStart w:id="28" w:name="_Toc230189907"/>
      <w:bookmarkStart w:id="29" w:name="_Toc26718930"/>
      <w:r>
        <w:rPr>
          <w:rFonts w:hint="eastAsia"/>
        </w:rPr>
        <w:t>范围</w:t>
      </w:r>
      <w:bookmarkEnd w:id="20"/>
      <w:bookmarkEnd w:id="21"/>
      <w:bookmarkEnd w:id="22"/>
      <w:bookmarkEnd w:id="23"/>
      <w:bookmarkEnd w:id="24"/>
      <w:bookmarkEnd w:id="25"/>
      <w:bookmarkEnd w:id="26"/>
      <w:bookmarkEnd w:id="27"/>
      <w:bookmarkEnd w:id="28"/>
      <w:bookmarkEnd w:id="29"/>
    </w:p>
    <w:p w14:paraId="2231DDD4">
      <w:pPr>
        <w:pStyle w:val="56"/>
        <w:ind w:firstLine="420"/>
      </w:pPr>
      <w:bookmarkStart w:id="30" w:name="_Toc24884219"/>
      <w:bookmarkStart w:id="31" w:name="_Toc17233334"/>
      <w:bookmarkStart w:id="32" w:name="_Toc24884212"/>
      <w:bookmarkStart w:id="33" w:name="_Toc26648466"/>
      <w:bookmarkStart w:id="34" w:name="_Toc17233326"/>
      <w:r>
        <w:rPr>
          <w:rFonts w:hint="eastAsia"/>
        </w:rPr>
        <w:t>本文件规定了电子商务领域人工智能应用的技术架构、数据与模型、应用功能以及安全与合规等要求。</w:t>
      </w:r>
    </w:p>
    <w:p w14:paraId="3B620B9C">
      <w:pPr>
        <w:pStyle w:val="56"/>
        <w:ind w:firstLine="420"/>
      </w:pPr>
      <w:r>
        <w:rPr>
          <w:rFonts w:hint="eastAsia"/>
        </w:rPr>
        <w:t>本文件适用于电子商务平台及商家在人工智能应用的设计、开发、测试、部署、运维和评估等阶段的技术管理。</w:t>
      </w:r>
    </w:p>
    <w:p w14:paraId="3B64347E">
      <w:pPr>
        <w:pStyle w:val="104"/>
        <w:spacing w:before="240" w:after="240"/>
      </w:pPr>
      <w:bookmarkStart w:id="35" w:name="_Toc26986772"/>
      <w:bookmarkStart w:id="36" w:name="_Toc230189908"/>
      <w:bookmarkStart w:id="37" w:name="_Toc26718931"/>
      <w:bookmarkStart w:id="38" w:name="_Toc26986531"/>
      <w:bookmarkStart w:id="39" w:name="_Toc97192965"/>
      <w:r>
        <w:rPr>
          <w:rFonts w:hint="eastAsia"/>
        </w:rPr>
        <w:t>规范性引用文件</w:t>
      </w:r>
      <w:bookmarkEnd w:id="30"/>
      <w:bookmarkEnd w:id="31"/>
      <w:bookmarkEnd w:id="32"/>
      <w:bookmarkEnd w:id="33"/>
      <w:bookmarkEnd w:id="34"/>
      <w:bookmarkEnd w:id="35"/>
      <w:bookmarkEnd w:id="36"/>
      <w:bookmarkEnd w:id="37"/>
      <w:bookmarkEnd w:id="38"/>
      <w:bookmarkEnd w:id="39"/>
    </w:p>
    <w:sdt>
      <w:sdtPr>
        <w:rPr>
          <w:rFonts w:hint="eastAsia"/>
        </w:rPr>
        <w:id w:val="715848253"/>
        <w:placeholder>
          <w:docPart w:val="13E51B5ABB0E474EA92252A9F345E83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E3E90EE">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3787C01">
      <w:pPr>
        <w:pStyle w:val="56"/>
        <w:ind w:firstLine="420"/>
      </w:pPr>
      <w:r>
        <w:rPr>
          <w:rFonts w:hint="eastAsia"/>
        </w:rPr>
        <w:t>GB/T 36344-2018  信息技术 数据质量评价指标</w:t>
      </w:r>
    </w:p>
    <w:p w14:paraId="114AB50F">
      <w:pPr>
        <w:pStyle w:val="56"/>
        <w:ind w:firstLine="420"/>
      </w:pPr>
      <w:r>
        <w:rPr>
          <w:rFonts w:hint="eastAsia"/>
        </w:rPr>
        <w:t>GB/T 41867-2022   信息技术 人工智能 术语</w:t>
      </w:r>
    </w:p>
    <w:p w14:paraId="777494A8">
      <w:pPr>
        <w:pStyle w:val="56"/>
        <w:ind w:firstLine="420"/>
      </w:pPr>
      <w:r>
        <w:rPr>
          <w:rFonts w:hint="eastAsia"/>
        </w:rPr>
        <w:t>GB/T 45225-2025  人工智能 深度学习算法评估</w:t>
      </w:r>
    </w:p>
    <w:p w14:paraId="6CAF22C5">
      <w:pPr>
        <w:pStyle w:val="56"/>
        <w:ind w:firstLine="420"/>
      </w:pPr>
      <w:r>
        <w:rPr>
          <w:rFonts w:hint="eastAsia"/>
        </w:rPr>
        <w:t>GB/T 45654-2025  网络安全技术 生成式人工智能服务安全基本要求</w:t>
      </w:r>
    </w:p>
    <w:p w14:paraId="7A10B592">
      <w:pPr>
        <w:pStyle w:val="104"/>
        <w:spacing w:before="240" w:after="240"/>
      </w:pPr>
      <w:bookmarkStart w:id="40" w:name="_Toc230189909"/>
      <w:bookmarkStart w:id="41" w:name="_Toc97192966"/>
      <w:r>
        <w:rPr>
          <w:rFonts w:hint="eastAsia"/>
          <w:szCs w:val="21"/>
        </w:rPr>
        <w:t>术语和定义</w:t>
      </w:r>
      <w:bookmarkEnd w:id="40"/>
      <w:bookmarkEnd w:id="41"/>
    </w:p>
    <w:sdt>
      <w:sdtPr>
        <w:id w:val="-1909835108"/>
        <w:placeholder>
          <w:docPart w:val="6056995300C54572B449D8194C1EE70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E1299EC">
          <w:pPr>
            <w:pStyle w:val="56"/>
            <w:ind w:firstLine="420"/>
          </w:pPr>
          <w:bookmarkStart w:id="42" w:name="_Toc26986532"/>
          <w:bookmarkEnd w:id="42"/>
          <w:r>
            <w:t>下列术语和定义适用于本文件。</w:t>
          </w:r>
        </w:p>
      </w:sdtContent>
    </w:sdt>
    <w:p w14:paraId="5D58123E">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嵌入向量  embedding vector</w:t>
      </w:r>
    </w:p>
    <w:p w14:paraId="5AA7E48D">
      <w:pPr>
        <w:pStyle w:val="56"/>
        <w:ind w:firstLine="420"/>
      </w:pPr>
      <w:r>
        <w:rPr>
          <w:rFonts w:hint="eastAsia"/>
        </w:rPr>
        <w:t>将离散对象（如词汇、商品、用户）映射为连续向量空间中的低维稠密向量表示。</w:t>
      </w:r>
    </w:p>
    <w:p w14:paraId="3E50F02D">
      <w:pPr>
        <w:pStyle w:val="104"/>
        <w:spacing w:before="240" w:after="240"/>
      </w:pPr>
      <w:bookmarkStart w:id="43" w:name="_Toc230189910"/>
      <w:r>
        <w:rPr>
          <w:rFonts w:hint="eastAsia"/>
        </w:rPr>
        <w:t>缩略语</w:t>
      </w:r>
      <w:bookmarkEnd w:id="43"/>
    </w:p>
    <w:p w14:paraId="01CC3502">
      <w:pPr>
        <w:pStyle w:val="56"/>
        <w:ind w:firstLine="420"/>
      </w:pPr>
      <w:r>
        <w:rPr>
          <w:rFonts w:hint="eastAsia"/>
        </w:rPr>
        <w:t>下列缩略语适用于本文件。</w:t>
      </w:r>
    </w:p>
    <w:p w14:paraId="2830832C">
      <w:pPr>
        <w:pStyle w:val="56"/>
        <w:ind w:firstLine="420"/>
        <w:rPr>
          <w:rFonts w:hint="eastAsia"/>
        </w:rPr>
      </w:pPr>
      <w:r>
        <w:rPr>
          <w:rFonts w:hint="eastAsia"/>
        </w:rPr>
        <w:t>API：应用程序接口（Application Programming Interface）</w:t>
      </w:r>
    </w:p>
    <w:p w14:paraId="6824FBA2">
      <w:pPr>
        <w:pStyle w:val="56"/>
        <w:ind w:firstLine="420"/>
        <w:rPr>
          <w:rFonts w:hint="eastAsia"/>
        </w:rPr>
      </w:pPr>
      <w:r>
        <w:rPr>
          <w:rFonts w:hint="eastAsia"/>
        </w:rPr>
        <w:t>AUC：曲线下面积（Area Under the Curve）</w:t>
      </w:r>
    </w:p>
    <w:p w14:paraId="6DD66F15">
      <w:pPr>
        <w:pStyle w:val="56"/>
        <w:ind w:firstLine="420"/>
        <w:rPr>
          <w:rFonts w:hint="eastAsia"/>
        </w:rPr>
      </w:pPr>
      <w:r>
        <w:rPr>
          <w:rFonts w:hint="eastAsia"/>
        </w:rPr>
        <w:t>CPU：中央处理器（Central Processing Unit）</w:t>
      </w:r>
    </w:p>
    <w:p w14:paraId="567074C9">
      <w:pPr>
        <w:pStyle w:val="56"/>
        <w:ind w:firstLine="420"/>
        <w:rPr>
          <w:rFonts w:hint="eastAsia"/>
        </w:rPr>
      </w:pPr>
      <w:r>
        <w:rPr>
          <w:rFonts w:hint="eastAsia"/>
        </w:rPr>
        <w:t>GPU：图形处理器（Graphics Processing Unit）</w:t>
      </w:r>
    </w:p>
    <w:p w14:paraId="333D1C1C">
      <w:pPr>
        <w:pStyle w:val="56"/>
        <w:ind w:firstLine="420"/>
        <w:rPr>
          <w:rFonts w:hint="eastAsia"/>
        </w:rPr>
      </w:pPr>
      <w:r>
        <w:rPr>
          <w:rFonts w:hint="eastAsia"/>
        </w:rPr>
        <w:t>SDK：软件开发工具包（Software Development Kit）</w:t>
      </w:r>
    </w:p>
    <w:p w14:paraId="248D8E72">
      <w:pPr>
        <w:pStyle w:val="56"/>
        <w:ind w:firstLine="420"/>
        <w:rPr>
          <w:rFonts w:hint="eastAsia"/>
        </w:rPr>
      </w:pPr>
      <w:r>
        <w:rPr>
          <w:rFonts w:hint="eastAsia"/>
        </w:rPr>
        <w:t>TPU：张量处理器（Tensor Processing Unit）</w:t>
      </w:r>
    </w:p>
    <w:p w14:paraId="16E0BDBC">
      <w:pPr>
        <w:pStyle w:val="104"/>
        <w:spacing w:before="240" w:after="240"/>
      </w:pPr>
      <w:bookmarkStart w:id="44" w:name="_Toc230189911"/>
      <w:r>
        <w:rPr>
          <w:rFonts w:hint="eastAsia"/>
        </w:rPr>
        <w:t>技术架构</w:t>
      </w:r>
      <w:bookmarkEnd w:id="44"/>
    </w:p>
    <w:p w14:paraId="742A7516">
      <w:pPr>
        <w:pStyle w:val="105"/>
        <w:spacing w:before="120" w:after="120"/>
      </w:pPr>
      <w:r>
        <w:rPr>
          <w:rFonts w:hint="eastAsia"/>
        </w:rPr>
        <w:t>总体架构</w:t>
      </w:r>
    </w:p>
    <w:p w14:paraId="31A60404">
      <w:pPr>
        <w:pStyle w:val="65"/>
        <w:spacing w:before="120" w:after="120"/>
      </w:pPr>
      <w:r>
        <w:rPr>
          <w:rFonts w:hint="eastAsia"/>
        </w:rPr>
        <w:t>分层架构</w:t>
      </w:r>
    </w:p>
    <w:p w14:paraId="48F4DFB9">
      <w:pPr>
        <w:pStyle w:val="56"/>
        <w:ind w:firstLine="420"/>
      </w:pPr>
      <w:r>
        <w:rPr>
          <w:rFonts w:hint="eastAsia"/>
        </w:rPr>
        <w:t>电子商务人工智能应用架构宜采用分层设计，各层协同实现智能化功能。分层架构应包括下列层次：</w:t>
      </w:r>
    </w:p>
    <w:p w14:paraId="7537A6FA">
      <w:pPr>
        <w:pStyle w:val="132"/>
      </w:pPr>
      <w:r>
        <w:rPr>
          <w:rFonts w:hint="eastAsia"/>
        </w:rPr>
        <w:t>基础设施层提供计算、存储和网络资源，支持CPU、GPU、TPU等异构计算，并具备资源弹性调度能力；</w:t>
      </w:r>
    </w:p>
    <w:p w14:paraId="730DBECD">
      <w:pPr>
        <w:pStyle w:val="132"/>
      </w:pPr>
      <w:r>
        <w:rPr>
          <w:rFonts w:hint="eastAsia"/>
        </w:rPr>
        <w:t>数据层负责数据采集、清洗、标注、存储和管理，支持结构化、半结构化和非结构化数据的统一访问，并具备数据血缘追踪与版本管理功能；</w:t>
      </w:r>
    </w:p>
    <w:p w14:paraId="715DB395">
      <w:pPr>
        <w:pStyle w:val="132"/>
      </w:pPr>
      <w:r>
        <w:rPr>
          <w:rFonts w:hint="eastAsia"/>
        </w:rPr>
        <w:t>模型层实现机器学习、深度学习模型的训练、评估、部署与更新，支持主流框架及模型格式，并具备模型仓库管理能力；</w:t>
      </w:r>
    </w:p>
    <w:p w14:paraId="32BF57BC">
      <w:pPr>
        <w:pStyle w:val="132"/>
      </w:pPr>
      <w:r>
        <w:rPr>
          <w:rFonts w:hint="eastAsia"/>
        </w:rPr>
        <w:t>服务层将人工智能模型封装为标准服务，提供统一的API或SDK供应用层调用，具备服务编排、流量控制、熔断和降级能力；</w:t>
      </w:r>
    </w:p>
    <w:p w14:paraId="7195A3D5">
      <w:pPr>
        <w:pStyle w:val="132"/>
      </w:pPr>
      <w:r>
        <w:rPr>
          <w:rFonts w:hint="eastAsia"/>
        </w:rPr>
        <w:t>应用层面向具体业务场景提供人工智能功能，包括搜索推荐、对话交互、图像处理等，通过服务层调用底层能力。</w:t>
      </w:r>
    </w:p>
    <w:p w14:paraId="585D0E56">
      <w:pPr>
        <w:pStyle w:val="65"/>
        <w:spacing w:before="120" w:after="120"/>
      </w:pPr>
      <w:r>
        <w:rPr>
          <w:rFonts w:hint="eastAsia"/>
        </w:rPr>
        <w:t>系统集成</w:t>
      </w:r>
    </w:p>
    <w:p w14:paraId="04FBDF73">
      <w:pPr>
        <w:pStyle w:val="56"/>
        <w:ind w:firstLine="420"/>
      </w:pPr>
      <w:r>
        <w:rPr>
          <w:rFonts w:hint="eastAsia"/>
        </w:rPr>
        <w:t>人工智能应用应能与电子商务平台现有系统集成，集成对象包括商品中心、交易中心、会员中心、营销中心和物流中心等。集成方式应支持同步调用、异步消息和批量数据处理，并应提供标准化的API接口文档。</w:t>
      </w:r>
    </w:p>
    <w:p w14:paraId="23710953">
      <w:pPr>
        <w:pStyle w:val="65"/>
        <w:spacing w:before="120" w:after="120"/>
      </w:pPr>
      <w:r>
        <w:rPr>
          <w:rFonts w:hint="eastAsia"/>
        </w:rPr>
        <w:t>可扩展性</w:t>
      </w:r>
    </w:p>
    <w:p w14:paraId="427F7478">
      <w:pPr>
        <w:pStyle w:val="56"/>
        <w:ind w:firstLine="420"/>
      </w:pPr>
      <w:r>
        <w:rPr>
          <w:rFonts w:hint="eastAsia"/>
        </w:rPr>
        <w:t>架构应支持水平扩展，计算节点应能根据业务负载进行自动扩缩。当单点处理能力不足时，宜采用分布式计算和模型并行化方案。</w:t>
      </w:r>
    </w:p>
    <w:p w14:paraId="60B0EB02">
      <w:pPr>
        <w:pStyle w:val="105"/>
        <w:spacing w:before="120" w:after="120"/>
      </w:pPr>
      <w:r>
        <w:rPr>
          <w:rFonts w:hint="eastAsia"/>
        </w:rPr>
        <w:t>应用场景</w:t>
      </w:r>
    </w:p>
    <w:p w14:paraId="41566D71">
      <w:pPr>
        <w:pStyle w:val="65"/>
        <w:spacing w:before="120" w:after="120"/>
      </w:pPr>
      <w:r>
        <w:rPr>
          <w:rFonts w:hint="eastAsia"/>
        </w:rPr>
        <w:t>智能搜索与推荐</w:t>
      </w:r>
    </w:p>
    <w:p w14:paraId="2BB15959">
      <w:pPr>
        <w:pStyle w:val="56"/>
        <w:ind w:firstLine="420"/>
      </w:pPr>
      <w:r>
        <w:rPr>
          <w:rFonts w:hint="eastAsia"/>
        </w:rPr>
        <w:t>智能搜索与推荐应用场景应符合下列要求：</w:t>
      </w:r>
    </w:p>
    <w:p w14:paraId="4DBD883E">
      <w:pPr>
        <w:pStyle w:val="132"/>
      </w:pPr>
      <w:r>
        <w:rPr>
          <w:rFonts w:hint="eastAsia"/>
        </w:rPr>
        <w:t>支持基于关键词、语音和图像的多模态搜索，并能利用自然语言处理进行查询意图理解；</w:t>
      </w:r>
    </w:p>
    <w:p w14:paraId="7B20955A">
      <w:pPr>
        <w:pStyle w:val="132"/>
      </w:pPr>
      <w:r>
        <w:rPr>
          <w:rFonts w:hint="eastAsia"/>
        </w:rPr>
        <w:t>提供个性化商品推荐，基于用户画像、实时行为、上下文信息和商品知识图谱；</w:t>
      </w:r>
    </w:p>
    <w:p w14:paraId="2C0E8DF0">
      <w:pPr>
        <w:pStyle w:val="132"/>
      </w:pPr>
      <w:r>
        <w:rPr>
          <w:rFonts w:hint="eastAsia"/>
        </w:rPr>
        <w:t>搜索和推荐结果应支持排序优化，具备多目标权衡能力，包括点击率、转化率和用户满意度；</w:t>
      </w:r>
    </w:p>
    <w:p w14:paraId="45680DEC">
      <w:pPr>
        <w:pStyle w:val="132"/>
      </w:pPr>
      <w:r>
        <w:rPr>
          <w:rFonts w:hint="eastAsia"/>
        </w:rPr>
        <w:t>推荐服务95%的请求响应时间应小于200 ms，并在高并发下保持稳定；</w:t>
      </w:r>
    </w:p>
    <w:p w14:paraId="43EAF97D">
      <w:pPr>
        <w:pStyle w:val="132"/>
      </w:pPr>
      <w:r>
        <w:rPr>
          <w:rFonts w:hint="eastAsia"/>
        </w:rPr>
        <w:t>支持新用户和新商品的冷启动处理机制。</w:t>
      </w:r>
    </w:p>
    <w:p w14:paraId="3C503048">
      <w:pPr>
        <w:pStyle w:val="65"/>
        <w:spacing w:before="120" w:after="120"/>
      </w:pPr>
      <w:r>
        <w:rPr>
          <w:rFonts w:hint="eastAsia"/>
        </w:rPr>
        <w:t>智能客服</w:t>
      </w:r>
    </w:p>
    <w:p w14:paraId="6B590E99">
      <w:pPr>
        <w:pStyle w:val="56"/>
        <w:ind w:firstLine="420"/>
      </w:pPr>
      <w:r>
        <w:rPr>
          <w:rFonts w:hint="eastAsia"/>
        </w:rPr>
        <w:t>智能客服应用场景应符合下列要求：</w:t>
      </w:r>
    </w:p>
    <w:p w14:paraId="5291F89F">
      <w:pPr>
        <w:pStyle w:val="132"/>
      </w:pPr>
      <w:r>
        <w:rPr>
          <w:rFonts w:hint="eastAsia"/>
        </w:rPr>
        <w:t>提供基于自然语言理解的多轮对话能力，支持文本和语音交互方式；</w:t>
      </w:r>
    </w:p>
    <w:p w14:paraId="44FBBB1C">
      <w:pPr>
        <w:pStyle w:val="132"/>
      </w:pPr>
      <w:r>
        <w:rPr>
          <w:rFonts w:hint="eastAsia"/>
        </w:rPr>
        <w:t>具备意图识别和槽位填充功能，能提取用户问题中的关键信息并引导至对应业务；</w:t>
      </w:r>
    </w:p>
    <w:p w14:paraId="084608BA">
      <w:pPr>
        <w:pStyle w:val="132"/>
      </w:pPr>
      <w:r>
        <w:rPr>
          <w:rFonts w:hint="eastAsia"/>
        </w:rPr>
        <w:t>支持知识库问答，能自动匹配标准答案，并具备未知问题转人工的机制；</w:t>
      </w:r>
    </w:p>
    <w:p w14:paraId="01C97C19">
      <w:pPr>
        <w:pStyle w:val="132"/>
      </w:pPr>
      <w:r>
        <w:rPr>
          <w:rFonts w:hint="eastAsia"/>
        </w:rPr>
        <w:t>能识别用户情绪并调整回复策略，对负面情绪进行安抚；</w:t>
      </w:r>
    </w:p>
    <w:p w14:paraId="29AA8B39">
      <w:pPr>
        <w:pStyle w:val="132"/>
      </w:pPr>
      <w:r>
        <w:rPr>
          <w:rFonts w:hint="eastAsia"/>
        </w:rPr>
        <w:t>对话记录应完整留存，并支持分析与质检。</w:t>
      </w:r>
    </w:p>
    <w:p w14:paraId="704E7CAC">
      <w:pPr>
        <w:pStyle w:val="65"/>
        <w:spacing w:before="120" w:after="120"/>
      </w:pPr>
      <w:r>
        <w:rPr>
          <w:rFonts w:hint="eastAsia"/>
        </w:rPr>
        <w:t>智能营销</w:t>
      </w:r>
    </w:p>
    <w:p w14:paraId="0E11D6F6">
      <w:pPr>
        <w:pStyle w:val="56"/>
        <w:ind w:firstLine="420"/>
      </w:pPr>
      <w:r>
        <w:rPr>
          <w:rFonts w:hint="eastAsia"/>
        </w:rPr>
        <w:t>智能营销应用场景应符合下列要求：</w:t>
      </w:r>
    </w:p>
    <w:p w14:paraId="5D70543C">
      <w:pPr>
        <w:pStyle w:val="132"/>
      </w:pPr>
      <w:r>
        <w:rPr>
          <w:rFonts w:hint="eastAsia"/>
        </w:rPr>
        <w:t>基于用户画像和生命周期进行精准营销，支持优惠券、满减、定向促销等策略的自动生成；</w:t>
      </w:r>
    </w:p>
    <w:p w14:paraId="395C7CD4">
      <w:pPr>
        <w:pStyle w:val="132"/>
      </w:pPr>
      <w:r>
        <w:rPr>
          <w:rFonts w:hint="eastAsia"/>
        </w:rPr>
        <w:t>具备广告点击率预估和出价优化能力，支持程序化广告投放；</w:t>
      </w:r>
    </w:p>
    <w:p w14:paraId="2C2DB499">
      <w:pPr>
        <w:pStyle w:val="132"/>
      </w:pPr>
      <w:r>
        <w:rPr>
          <w:rFonts w:hint="eastAsia"/>
        </w:rPr>
        <w:t>支持营销文案和图片等内容的自动生成，辅助人工创意；</w:t>
      </w:r>
    </w:p>
    <w:p w14:paraId="7076146A">
      <w:pPr>
        <w:pStyle w:val="132"/>
      </w:pPr>
      <w:r>
        <w:rPr>
          <w:rFonts w:hint="eastAsia"/>
        </w:rPr>
        <w:t>提供营销活动效果归因分析和预算分配建议。</w:t>
      </w:r>
    </w:p>
    <w:p w14:paraId="23CE6450">
      <w:pPr>
        <w:pStyle w:val="65"/>
        <w:spacing w:before="120" w:after="120"/>
      </w:pPr>
      <w:r>
        <w:rPr>
          <w:rFonts w:hint="eastAsia"/>
        </w:rPr>
        <w:t>视觉内容理解与生成</w:t>
      </w:r>
    </w:p>
    <w:p w14:paraId="3FEB2668">
      <w:pPr>
        <w:pStyle w:val="56"/>
        <w:ind w:firstLine="420"/>
      </w:pPr>
      <w:r>
        <w:rPr>
          <w:rFonts w:hint="eastAsia"/>
        </w:rPr>
        <w:t>视觉内容应用场景应符合下列要求：</w:t>
      </w:r>
    </w:p>
    <w:p w14:paraId="3B2D395A">
      <w:pPr>
        <w:pStyle w:val="132"/>
      </w:pPr>
      <w:r>
        <w:rPr>
          <w:rFonts w:hint="eastAsia"/>
        </w:rPr>
        <w:t>应支持商品图像识别，包括类目预测、属性提取、同款检测和版权识别；</w:t>
      </w:r>
    </w:p>
    <w:p w14:paraId="50FDF5CE">
      <w:pPr>
        <w:pStyle w:val="132"/>
      </w:pPr>
      <w:r>
        <w:rPr>
          <w:rFonts w:hint="eastAsia"/>
        </w:rPr>
        <w:t>应具备图像质量评估能力，能自动检测清晰度、水印、边框等影响体验的因素；</w:t>
      </w:r>
    </w:p>
    <w:p w14:paraId="39CBBDF2">
      <w:pPr>
        <w:pStyle w:val="132"/>
      </w:pPr>
      <w:r>
        <w:rPr>
          <w:rFonts w:hint="eastAsia"/>
        </w:rPr>
        <w:t>应支持以图搜图功能，允许通过上传图片查找相似商品；</w:t>
      </w:r>
    </w:p>
    <w:p w14:paraId="5842CC26">
      <w:pPr>
        <w:pStyle w:val="132"/>
      </w:pPr>
      <w:r>
        <w:rPr>
          <w:rFonts w:hint="eastAsia"/>
        </w:rPr>
        <w:t>宜支持商品图片的背景替换、智能裁剪、风格迁移和虚拟试穿等智能处理。</w:t>
      </w:r>
    </w:p>
    <w:p w14:paraId="01CBDF8A">
      <w:pPr>
        <w:pStyle w:val="65"/>
        <w:spacing w:before="120" w:after="120"/>
      </w:pPr>
      <w:r>
        <w:rPr>
          <w:rFonts w:hint="eastAsia"/>
        </w:rPr>
        <w:t>智能风控</w:t>
      </w:r>
    </w:p>
    <w:p w14:paraId="054B73F9">
      <w:pPr>
        <w:pStyle w:val="56"/>
        <w:ind w:firstLine="420"/>
      </w:pPr>
      <w:r>
        <w:rPr>
          <w:rFonts w:hint="eastAsia"/>
        </w:rPr>
        <w:t>智能风控应用场景应符合下列要求：</w:t>
      </w:r>
    </w:p>
    <w:p w14:paraId="3AACCBD6">
      <w:pPr>
        <w:pStyle w:val="132"/>
      </w:pPr>
      <w:r>
        <w:rPr>
          <w:rFonts w:hint="eastAsia"/>
        </w:rPr>
        <w:t>应能实时识别和拦截欺诈交易、虚假注册、黄牛抢购和恶意套利等风险行为；</w:t>
      </w:r>
    </w:p>
    <w:p w14:paraId="121499F1">
      <w:pPr>
        <w:pStyle w:val="132"/>
      </w:pPr>
      <w:r>
        <w:rPr>
          <w:rFonts w:hint="eastAsia"/>
        </w:rPr>
        <w:t>应支持基于用户行为序列的异常检测，能构建动态风险评分模型；</w:t>
      </w:r>
    </w:p>
    <w:p w14:paraId="3B626880">
      <w:pPr>
        <w:pStyle w:val="132"/>
      </w:pPr>
      <w:r>
        <w:rPr>
          <w:rFonts w:hint="eastAsia"/>
        </w:rPr>
        <w:t>应提供案件管理和审核工作台，支持人工复审与规则配置；</w:t>
      </w:r>
    </w:p>
    <w:p w14:paraId="494FC7F2">
      <w:pPr>
        <w:pStyle w:val="132"/>
      </w:pPr>
      <w:r>
        <w:rPr>
          <w:rFonts w:hint="eastAsia"/>
        </w:rPr>
        <w:t>风险识别模型应定期更新，以适应新的攻击模式。</w:t>
      </w:r>
    </w:p>
    <w:p w14:paraId="376A086E">
      <w:pPr>
        <w:pStyle w:val="65"/>
        <w:spacing w:before="120" w:after="120"/>
      </w:pPr>
      <w:r>
        <w:rPr>
          <w:rFonts w:hint="eastAsia"/>
        </w:rPr>
        <w:t>智能运营与决策</w:t>
      </w:r>
    </w:p>
    <w:p w14:paraId="79D22E96">
      <w:pPr>
        <w:pStyle w:val="56"/>
        <w:ind w:firstLine="420"/>
      </w:pPr>
      <w:r>
        <w:rPr>
          <w:rFonts w:hint="eastAsia"/>
        </w:rPr>
        <w:t>智能运营与决策应用场景应符合下列要求：</w:t>
      </w:r>
    </w:p>
    <w:p w14:paraId="0F522D67">
      <w:pPr>
        <w:pStyle w:val="132"/>
      </w:pPr>
      <w:r>
        <w:rPr>
          <w:rFonts w:hint="eastAsia"/>
        </w:rPr>
        <w:t>支持销量预测和库存需求预测，辅助备货与仓配规划；</w:t>
      </w:r>
    </w:p>
    <w:p w14:paraId="5EA4741A">
      <w:pPr>
        <w:pStyle w:val="132"/>
      </w:pPr>
      <w:r>
        <w:rPr>
          <w:rFonts w:hint="eastAsia"/>
        </w:rPr>
        <w:t>提供商品定价和动态调价建议，依据竞争态势、库存水平和需求弹性；</w:t>
      </w:r>
    </w:p>
    <w:p w14:paraId="6606DF50">
      <w:pPr>
        <w:pStyle w:val="132"/>
      </w:pPr>
      <w:r>
        <w:rPr>
          <w:rFonts w:hint="eastAsia"/>
        </w:rPr>
        <w:t>能对用户评价和问答内容进行情感分析和观点抽取，支持产品改进；</w:t>
      </w:r>
    </w:p>
    <w:p w14:paraId="30B1E00C">
      <w:pPr>
        <w:pStyle w:val="132"/>
      </w:pPr>
      <w:r>
        <w:rPr>
          <w:rFonts w:hint="eastAsia"/>
        </w:rPr>
        <w:t>具备异常指标监控和告警功能，如转化率骤降、退款率异常升高。</w:t>
      </w:r>
    </w:p>
    <w:p w14:paraId="483F1947">
      <w:pPr>
        <w:pStyle w:val="65"/>
        <w:spacing w:before="120" w:after="120"/>
      </w:pPr>
      <w:r>
        <w:rPr>
          <w:rFonts w:hint="eastAsia"/>
        </w:rPr>
        <w:t>智能供应链与物流</w:t>
      </w:r>
    </w:p>
    <w:p w14:paraId="37B9A5BD">
      <w:pPr>
        <w:pStyle w:val="56"/>
        <w:ind w:firstLine="420"/>
      </w:pPr>
      <w:r>
        <w:rPr>
          <w:rFonts w:hint="eastAsia"/>
        </w:rPr>
        <w:t>智能供应链与物流应用场景应符合下列要求：</w:t>
      </w:r>
    </w:p>
    <w:p w14:paraId="6818218B">
      <w:pPr>
        <w:pStyle w:val="132"/>
      </w:pPr>
      <w:r>
        <w:rPr>
          <w:rFonts w:hint="eastAsia"/>
        </w:rPr>
        <w:t>支持基于预测的智能补货、调拨和仓储位分配优化；</w:t>
      </w:r>
    </w:p>
    <w:p w14:paraId="00CBC231">
      <w:pPr>
        <w:pStyle w:val="132"/>
      </w:pPr>
      <w:r>
        <w:rPr>
          <w:rFonts w:hint="eastAsia"/>
        </w:rPr>
        <w:t>具备物流路径规划和时间预测能力，支持实时路线调整；</w:t>
      </w:r>
    </w:p>
    <w:p w14:paraId="23E58C79">
      <w:pPr>
        <w:pStyle w:val="132"/>
      </w:pPr>
      <w:r>
        <w:rPr>
          <w:rFonts w:hint="eastAsia"/>
        </w:rPr>
        <w:t>利用计算机视觉进行包裹分拣、货物破损识别和体积测量；</w:t>
      </w:r>
    </w:p>
    <w:p w14:paraId="384ABA0D">
      <w:pPr>
        <w:pStyle w:val="132"/>
      </w:pPr>
      <w:r>
        <w:rPr>
          <w:rFonts w:hint="eastAsia"/>
        </w:rPr>
        <w:t>支持物流单号的自动识别和异常件预警。</w:t>
      </w:r>
    </w:p>
    <w:p w14:paraId="45A49DA3">
      <w:pPr>
        <w:pStyle w:val="105"/>
        <w:spacing w:before="120" w:after="120"/>
      </w:pPr>
      <w:r>
        <w:rPr>
          <w:rFonts w:hint="eastAsia"/>
        </w:rPr>
        <w:t>场景协同</w:t>
      </w:r>
    </w:p>
    <w:p w14:paraId="024B0A27">
      <w:pPr>
        <w:pStyle w:val="56"/>
        <w:ind w:firstLine="420"/>
      </w:pPr>
      <w:r>
        <w:rPr>
          <w:rFonts w:hint="eastAsia"/>
        </w:rPr>
        <w:t>人工智能应用各场景之间应通过统一的用户上下文共享机制实现体验的连续性，宜共享数据、特征和模型，避免因场景孤立造成用户反复提供信息。</w:t>
      </w:r>
    </w:p>
    <w:p w14:paraId="7283C05A">
      <w:pPr>
        <w:pStyle w:val="104"/>
        <w:spacing w:before="240" w:after="240"/>
      </w:pPr>
      <w:bookmarkStart w:id="45" w:name="_Toc230189912"/>
      <w:r>
        <w:rPr>
          <w:rFonts w:hint="eastAsia"/>
        </w:rPr>
        <w:t>数据与模型要求</w:t>
      </w:r>
      <w:bookmarkEnd w:id="45"/>
    </w:p>
    <w:p w14:paraId="016BD6DB">
      <w:pPr>
        <w:pStyle w:val="105"/>
        <w:spacing w:before="120" w:after="120"/>
      </w:pPr>
      <w:r>
        <w:rPr>
          <w:rFonts w:hint="eastAsia"/>
        </w:rPr>
        <w:t>数据治理</w:t>
      </w:r>
    </w:p>
    <w:p w14:paraId="20DEE35E">
      <w:pPr>
        <w:pStyle w:val="65"/>
        <w:spacing w:before="120" w:after="120"/>
      </w:pPr>
      <w:r>
        <w:rPr>
          <w:rFonts w:hint="eastAsia"/>
        </w:rPr>
        <w:t>数据采集与接入</w:t>
      </w:r>
    </w:p>
    <w:p w14:paraId="21C552A6">
      <w:pPr>
        <w:pStyle w:val="56"/>
        <w:ind w:firstLine="420"/>
      </w:pPr>
      <w:r>
        <w:rPr>
          <w:rFonts w:hint="eastAsia"/>
        </w:rPr>
        <w:t>电子商务人工智能应用的数据采集与接入应符合下列要求：</w:t>
      </w:r>
    </w:p>
    <w:p w14:paraId="2A005CB2">
      <w:pPr>
        <w:pStyle w:val="132"/>
      </w:pPr>
      <w:r>
        <w:rPr>
          <w:rFonts w:hint="eastAsia"/>
        </w:rPr>
        <w:t>数据来源应包括用户行为日志、交易订单、商品信息、会员资料、评论内容、客服对话、图像视频以及第三方数据等；</w:t>
      </w:r>
    </w:p>
    <w:p w14:paraId="6AF0E533">
      <w:pPr>
        <w:pStyle w:val="132"/>
      </w:pPr>
      <w:r>
        <w:rPr>
          <w:rFonts w:hint="eastAsia"/>
        </w:rPr>
        <w:t>数据采集通道应支持实时流式接入和批量离线接入两种模式，流式采集的端到端延迟宜小于5 s；</w:t>
      </w:r>
    </w:p>
    <w:p w14:paraId="3695D77E">
      <w:pPr>
        <w:pStyle w:val="132"/>
      </w:pPr>
      <w:r>
        <w:rPr>
          <w:rFonts w:hint="eastAsia"/>
        </w:rPr>
        <w:t>应记录每条数据的采集时间戳、来源系统标识和采集方式，实现数据血缘可追溯；</w:t>
      </w:r>
    </w:p>
    <w:p w14:paraId="2D78C5AE">
      <w:pPr>
        <w:pStyle w:val="132"/>
      </w:pPr>
      <w:r>
        <w:rPr>
          <w:rFonts w:hint="eastAsia"/>
        </w:rPr>
        <w:t>结构化数据接入时，应校验字段类型、长度和必填约束；非结构化数据接入时，应保留原始元数据和格式信息；</w:t>
      </w:r>
    </w:p>
    <w:p w14:paraId="16207BDB">
      <w:pPr>
        <w:pStyle w:val="132"/>
      </w:pPr>
      <w:r>
        <w:rPr>
          <w:rFonts w:hint="eastAsia"/>
        </w:rPr>
        <w:t>宜采用统一的数据接入网关，提供认证、限流和格式转换能力。</w:t>
      </w:r>
    </w:p>
    <w:p w14:paraId="773C46D7">
      <w:pPr>
        <w:pStyle w:val="65"/>
        <w:spacing w:before="120" w:after="120"/>
      </w:pPr>
      <w:r>
        <w:rPr>
          <w:rFonts w:hint="eastAsia"/>
        </w:rPr>
        <w:t>数据清洗与预处理</w:t>
      </w:r>
    </w:p>
    <w:p w14:paraId="5E768E7B">
      <w:pPr>
        <w:pStyle w:val="56"/>
        <w:ind w:firstLine="420"/>
      </w:pPr>
      <w:r>
        <w:rPr>
          <w:rFonts w:hint="eastAsia"/>
        </w:rPr>
        <w:t>数据清洗与预处理环节应符合下列规定：</w:t>
      </w:r>
    </w:p>
    <w:p w14:paraId="0544DF93">
      <w:pPr>
        <w:pStyle w:val="132"/>
      </w:pPr>
      <w:r>
        <w:rPr>
          <w:rFonts w:hint="eastAsia"/>
        </w:rPr>
        <w:t>应对缺失值、重复记录和超出合理范围的异常值进行处理，处理规则应形成文档并纳入配置管理；</w:t>
      </w:r>
    </w:p>
    <w:p w14:paraId="3E41CA8B">
      <w:pPr>
        <w:pStyle w:val="132"/>
      </w:pPr>
      <w:r>
        <w:rPr>
          <w:rFonts w:hint="eastAsia"/>
        </w:rPr>
        <w:t>文本类数据应执行分词、去除无意义符号、大小写统一、繁简转换等标准化操作；</w:t>
      </w:r>
    </w:p>
    <w:p w14:paraId="7D03FC8D">
      <w:pPr>
        <w:pStyle w:val="132"/>
      </w:pPr>
      <w:r>
        <w:rPr>
          <w:rFonts w:hint="eastAsia"/>
        </w:rPr>
        <w:t>图像类数据应统一分辨率、色彩空间和文件格式，并对模糊、过曝等低质量图像予以标记或剔除；</w:t>
      </w:r>
    </w:p>
    <w:p w14:paraId="1CFCA70F">
      <w:pPr>
        <w:pStyle w:val="132"/>
      </w:pPr>
      <w:r>
        <w:rPr>
          <w:rFonts w:hint="eastAsia"/>
        </w:rPr>
        <w:t>结构化数据应依据业务规则校验逻辑一致性，如订单金额与商品单价、数量的匹配关系；</w:t>
      </w:r>
    </w:p>
    <w:p w14:paraId="23A1AB6A">
      <w:pPr>
        <w:pStyle w:val="132"/>
      </w:pPr>
      <w:r>
        <w:rPr>
          <w:rFonts w:hint="eastAsia"/>
        </w:rPr>
        <w:t>数据清洗流程应支持断点续跑、错误重试和脏数据隔离，处理结果应可复现。</w:t>
      </w:r>
    </w:p>
    <w:p w14:paraId="1FA6F947">
      <w:pPr>
        <w:pStyle w:val="65"/>
        <w:spacing w:before="120" w:after="120"/>
      </w:pPr>
      <w:r>
        <w:rPr>
          <w:rFonts w:hint="eastAsia"/>
        </w:rPr>
        <w:t>数据标注</w:t>
      </w:r>
    </w:p>
    <w:p w14:paraId="63B5DDBA">
      <w:pPr>
        <w:pStyle w:val="56"/>
        <w:ind w:firstLine="420"/>
      </w:pPr>
      <w:r>
        <w:rPr>
          <w:rFonts w:hint="eastAsia"/>
        </w:rPr>
        <w:t>面向监督学习的数据标注应满足下列要求：</w:t>
      </w:r>
    </w:p>
    <w:p w14:paraId="5308069B">
      <w:pPr>
        <w:pStyle w:val="132"/>
      </w:pPr>
      <w:r>
        <w:rPr>
          <w:rFonts w:hint="eastAsia"/>
        </w:rPr>
        <w:t>应制定标注规范，明确标注对象、标签体系、标注粒度和质量控制标准，规范宜经业务专家评审确认；</w:t>
      </w:r>
    </w:p>
    <w:p w14:paraId="75F24092">
      <w:pPr>
        <w:pStyle w:val="132"/>
      </w:pPr>
      <w:r>
        <w:rPr>
          <w:rFonts w:hint="eastAsia"/>
        </w:rPr>
        <w:t>标注人员上岗前应完成培训并通过标注一致性测试，标注一致性率不宜低于95%；</w:t>
      </w:r>
    </w:p>
    <w:p w14:paraId="69A42031">
      <w:pPr>
        <w:pStyle w:val="132"/>
      </w:pPr>
      <w:r>
        <w:rPr>
          <w:rFonts w:hint="eastAsia"/>
        </w:rPr>
        <w:t>对已标注数据应进行多级审核，宜采用交叉验证或预标注辅助审核，人工审核比例应根据任务复杂度和质量目标确定；</w:t>
      </w:r>
    </w:p>
    <w:p w14:paraId="5873DB14">
      <w:pPr>
        <w:pStyle w:val="132"/>
      </w:pPr>
      <w:r>
        <w:rPr>
          <w:rFonts w:hint="eastAsia"/>
        </w:rPr>
        <w:t>应支持主动学习策略，优先选择模型不确定性高的样本进行标注，提升标注效率；</w:t>
      </w:r>
    </w:p>
    <w:p w14:paraId="6FA881F4">
      <w:pPr>
        <w:pStyle w:val="132"/>
      </w:pPr>
      <w:r>
        <w:rPr>
          <w:rFonts w:hint="eastAsia"/>
        </w:rPr>
        <w:t>每批次标注数据均应分配唯一版本号，标注变更应记录修改人和修改时间，实现标注历史可追溯。</w:t>
      </w:r>
    </w:p>
    <w:p w14:paraId="25F3ED6E">
      <w:pPr>
        <w:pStyle w:val="65"/>
        <w:spacing w:before="120" w:after="120"/>
      </w:pPr>
      <w:r>
        <w:rPr>
          <w:rFonts w:hint="eastAsia"/>
        </w:rPr>
        <w:t>数据质量</w:t>
      </w:r>
    </w:p>
    <w:p w14:paraId="19E851F5">
      <w:pPr>
        <w:pStyle w:val="56"/>
        <w:ind w:firstLine="420"/>
      </w:pPr>
      <w:r>
        <w:rPr>
          <w:rFonts w:hint="eastAsia"/>
        </w:rPr>
        <w:t>应建立覆盖数据全生命周期的质量监控体系，质量度量的关键指标应包括：</w:t>
      </w:r>
    </w:p>
    <w:p w14:paraId="009CD1F0">
      <w:pPr>
        <w:pStyle w:val="132"/>
      </w:pPr>
      <w:r>
        <w:rPr>
          <w:rFonts w:hint="eastAsia"/>
        </w:rPr>
        <w:t>完整性：必填字段的填充率，记录缺失比例；</w:t>
      </w:r>
    </w:p>
    <w:p w14:paraId="1B2EA4EE">
      <w:pPr>
        <w:pStyle w:val="132"/>
      </w:pPr>
      <w:r>
        <w:rPr>
          <w:rFonts w:hint="eastAsia"/>
        </w:rPr>
        <w:t>准确性：数据值与真实业务状态的偏离程度，可通过抽样核验等方式评估；</w:t>
      </w:r>
    </w:p>
    <w:p w14:paraId="6779EF8A">
      <w:pPr>
        <w:pStyle w:val="132"/>
      </w:pPr>
      <w:r>
        <w:rPr>
          <w:rFonts w:hint="eastAsia"/>
        </w:rPr>
        <w:t>一致性：跨系统、跨表对同一实体描述的逻辑一致程度，如商品类目在不同表中的命名一致性；</w:t>
      </w:r>
    </w:p>
    <w:p w14:paraId="4BE76580">
      <w:pPr>
        <w:pStyle w:val="132"/>
      </w:pPr>
      <w:r>
        <w:rPr>
          <w:rFonts w:hint="eastAsia"/>
        </w:rPr>
        <w:t>时效性：数据从业务发生到可供AI应用使用的延迟时长，应按场景设定时效基线；</w:t>
      </w:r>
    </w:p>
    <w:p w14:paraId="072DB1ED">
      <w:pPr>
        <w:pStyle w:val="132"/>
      </w:pPr>
      <w:r>
        <w:rPr>
          <w:rFonts w:hint="eastAsia"/>
        </w:rPr>
        <w:t>唯一性：主键重复记录比例，及同一实体出现多次重复采集的情况。</w:t>
      </w:r>
    </w:p>
    <w:p w14:paraId="506D15EF">
      <w:pPr>
        <w:pStyle w:val="65"/>
        <w:spacing w:before="120" w:after="120"/>
      </w:pPr>
      <w:r>
        <w:rPr>
          <w:rFonts w:hint="eastAsia"/>
        </w:rPr>
        <w:t>数据安全与合规</w:t>
      </w:r>
    </w:p>
    <w:p w14:paraId="03EF6298">
      <w:pPr>
        <w:pStyle w:val="56"/>
        <w:ind w:firstLine="420"/>
      </w:pPr>
      <w:r>
        <w:rPr>
          <w:rFonts w:hint="eastAsia"/>
        </w:rPr>
        <w:t>数据安全与合规管理应遵循国家法律法规及个人信息保护相关要求，具体包括：</w:t>
      </w:r>
    </w:p>
    <w:p w14:paraId="11A622DC">
      <w:pPr>
        <w:pStyle w:val="132"/>
      </w:pPr>
      <w:r>
        <w:rPr>
          <w:rFonts w:hint="eastAsia"/>
        </w:rPr>
        <w:t>涉及个人信息的，应按照相关标准进行去标识化或匿名化处理，处理后的数据重新识别个人的风险应得到评估；</w:t>
      </w:r>
    </w:p>
    <w:p w14:paraId="2D9409E5">
      <w:pPr>
        <w:pStyle w:val="132"/>
      </w:pPr>
      <w:r>
        <w:rPr>
          <w:rFonts w:hint="eastAsia"/>
        </w:rPr>
        <w:t>敏感数据在传输和存储时应采用加密保护，加密算法宜选用国密算法或国际公认的安全算法；</w:t>
      </w:r>
    </w:p>
    <w:p w14:paraId="234C63F8">
      <w:pPr>
        <w:pStyle w:val="132"/>
      </w:pPr>
      <w:r>
        <w:rPr>
          <w:rFonts w:hint="eastAsia"/>
        </w:rPr>
        <w:t>数据访问权限应遵循最小必要原则，对数据查询、导出、修改等操作实施细粒度的授权控制；</w:t>
      </w:r>
    </w:p>
    <w:p w14:paraId="44A3E966">
      <w:pPr>
        <w:pStyle w:val="132"/>
      </w:pPr>
      <w:r>
        <w:rPr>
          <w:rFonts w:hint="eastAsia"/>
        </w:rPr>
        <w:t>应建立数据操作审计日志，记录操作主体、时间、类型、客体和结果，日志保留期限不少于六个月；</w:t>
      </w:r>
    </w:p>
    <w:p w14:paraId="5F3DD2C2">
      <w:pPr>
        <w:pStyle w:val="132"/>
      </w:pPr>
      <w:r>
        <w:rPr>
          <w:rFonts w:hint="eastAsia"/>
        </w:rPr>
        <w:t>基于用户画像做出的自动化决策，应向用户提供拒绝或退出的选项，并保留决策解释的途径。</w:t>
      </w:r>
    </w:p>
    <w:p w14:paraId="4CA78AD2">
      <w:pPr>
        <w:pStyle w:val="65"/>
        <w:spacing w:before="120" w:after="120"/>
      </w:pPr>
      <w:r>
        <w:rPr>
          <w:rFonts w:hint="eastAsia"/>
        </w:rPr>
        <w:t>数据生命周期管理</w:t>
      </w:r>
    </w:p>
    <w:p w14:paraId="52857879">
      <w:pPr>
        <w:pStyle w:val="56"/>
        <w:ind w:firstLine="420"/>
      </w:pPr>
      <w:r>
        <w:rPr>
          <w:rFonts w:hint="eastAsia"/>
        </w:rPr>
        <w:t>数据生命周期管理应符合下列规定：</w:t>
      </w:r>
    </w:p>
    <w:p w14:paraId="656BA028">
      <w:pPr>
        <w:pStyle w:val="132"/>
      </w:pPr>
      <w:r>
        <w:rPr>
          <w:rFonts w:hint="eastAsia"/>
        </w:rPr>
        <w:t>应明确各类数据存储期限和归档策略，到期数据应依据策略自动清理或降冷；</w:t>
      </w:r>
    </w:p>
    <w:p w14:paraId="6CEC1571">
      <w:pPr>
        <w:pStyle w:val="132"/>
      </w:pPr>
      <w:r>
        <w:rPr>
          <w:rFonts w:hint="eastAsia"/>
        </w:rPr>
        <w:t>数据销毁应不可恢复，销毁操作应留存记录；</w:t>
      </w:r>
    </w:p>
    <w:p w14:paraId="37FF7402">
      <w:pPr>
        <w:pStyle w:val="132"/>
      </w:pPr>
      <w:r>
        <w:rPr>
          <w:rFonts w:hint="eastAsia"/>
        </w:rPr>
        <w:t>训练数据、测试数据和线上数据的分区与隔离机制应明确规定，避免测试数据混入训练集；</w:t>
      </w:r>
    </w:p>
    <w:p w14:paraId="5E123030">
      <w:pPr>
        <w:pStyle w:val="132"/>
      </w:pPr>
      <w:r>
        <w:rPr>
          <w:rFonts w:hint="eastAsia"/>
        </w:rPr>
        <w:t>数据副本数量及分布应进行控制，定期清理无效副本和临时数据。</w:t>
      </w:r>
    </w:p>
    <w:p w14:paraId="099B8C36">
      <w:pPr>
        <w:pStyle w:val="105"/>
        <w:spacing w:before="120" w:after="120"/>
      </w:pPr>
      <w:r>
        <w:rPr>
          <w:rFonts w:hint="eastAsia"/>
        </w:rPr>
        <w:t>特征工程</w:t>
      </w:r>
    </w:p>
    <w:p w14:paraId="5EBE440F">
      <w:pPr>
        <w:pStyle w:val="65"/>
        <w:spacing w:before="120" w:after="120"/>
      </w:pPr>
      <w:r>
        <w:rPr>
          <w:rFonts w:hint="eastAsia"/>
        </w:rPr>
        <w:t>特征设计</w:t>
      </w:r>
    </w:p>
    <w:p w14:paraId="4445E411">
      <w:pPr>
        <w:pStyle w:val="56"/>
        <w:ind w:firstLine="420"/>
      </w:pPr>
      <w:r>
        <w:rPr>
          <w:rFonts w:hint="eastAsia"/>
        </w:rPr>
        <w:t>特征设计应结合电子商务业务知识，满足下列要求：</w:t>
      </w:r>
    </w:p>
    <w:p w14:paraId="484B3A3D">
      <w:pPr>
        <w:pStyle w:val="132"/>
      </w:pPr>
      <w:r>
        <w:rPr>
          <w:rFonts w:hint="eastAsia"/>
        </w:rPr>
        <w:t>应构建用户特征、商品特征、上下文特征及交互特征等多维度特征体系；</w:t>
      </w:r>
    </w:p>
    <w:p w14:paraId="09061CBE">
      <w:pPr>
        <w:pStyle w:val="132"/>
      </w:pPr>
      <w:r>
        <w:rPr>
          <w:rFonts w:hint="eastAsia"/>
        </w:rPr>
        <w:t>用户特征宜包含人口统计属性、长期偏好、短期意图、消费能力分层及生命周期阶段等；</w:t>
      </w:r>
    </w:p>
    <w:p w14:paraId="4A894BB0">
      <w:pPr>
        <w:pStyle w:val="132"/>
      </w:pPr>
      <w:r>
        <w:rPr>
          <w:rFonts w:hint="eastAsia"/>
        </w:rPr>
        <w:t>商品特征宜包含类目、品牌、规格、价格带、销量、好评率、点击转化率以及视觉嵌入向量等；</w:t>
      </w:r>
    </w:p>
    <w:p w14:paraId="10296E4A">
      <w:pPr>
        <w:pStyle w:val="132"/>
      </w:pPr>
      <w:r>
        <w:rPr>
          <w:rFonts w:hint="eastAsia"/>
        </w:rPr>
        <w:t>上下文特征宜包含访问时间、终端设备、渠道来源、网络环境、地理位置等；</w:t>
      </w:r>
    </w:p>
    <w:p w14:paraId="2078CE13">
      <w:pPr>
        <w:pStyle w:val="132"/>
      </w:pPr>
      <w:r>
        <w:rPr>
          <w:rFonts w:hint="eastAsia"/>
        </w:rPr>
        <w:t>特征设计应在模型效果和在线获取成本之间进行平衡，对于延迟敏感性高的服务，不宜使用需要远程调用且延迟不可控的特征。</w:t>
      </w:r>
    </w:p>
    <w:p w14:paraId="1FA1331A">
      <w:pPr>
        <w:pStyle w:val="65"/>
        <w:spacing w:before="120" w:after="120"/>
      </w:pPr>
      <w:r>
        <w:rPr>
          <w:rFonts w:hint="eastAsia"/>
        </w:rPr>
        <w:t>特征生成与变换</w:t>
      </w:r>
    </w:p>
    <w:p w14:paraId="06323282">
      <w:pPr>
        <w:pStyle w:val="56"/>
        <w:ind w:firstLine="420"/>
      </w:pPr>
      <w:r>
        <w:rPr>
          <w:rFonts w:hint="eastAsia"/>
        </w:rPr>
        <w:t>特征生成与变换过程应符合下列规定：</w:t>
      </w:r>
    </w:p>
    <w:p w14:paraId="4EC85255">
      <w:pPr>
        <w:pStyle w:val="132"/>
      </w:pPr>
      <w:r>
        <w:rPr>
          <w:rFonts w:hint="eastAsia"/>
        </w:rPr>
        <w:t>数值型特征宜进行归一化、标准化、分箱、对数变换等处理，以适配不同模型要求；</w:t>
      </w:r>
    </w:p>
    <w:p w14:paraId="760B6E0D">
      <w:pPr>
        <w:pStyle w:val="132"/>
      </w:pPr>
      <w:r>
        <w:rPr>
          <w:rFonts w:hint="eastAsia"/>
        </w:rPr>
        <w:t>类别型特征宜采用独热编码、标签编码或嵌入向量等方法转换为数值表达；</w:t>
      </w:r>
    </w:p>
    <w:p w14:paraId="2F89ED7F">
      <w:pPr>
        <w:pStyle w:val="132"/>
      </w:pPr>
      <w:r>
        <w:rPr>
          <w:rFonts w:hint="eastAsia"/>
        </w:rPr>
        <w:t>文本特征可经分词后采用词频-逆文档频率、词向量或预训练语言模型等方式生成稠密向量表示；</w:t>
      </w:r>
    </w:p>
    <w:p w14:paraId="5968F5E1">
      <w:pPr>
        <w:pStyle w:val="132"/>
      </w:pPr>
      <w:r>
        <w:rPr>
          <w:rFonts w:hint="eastAsia"/>
        </w:rPr>
        <w:t>图像特征可通过卷积神经网络等模型提取固定维度的嵌入向量；</w:t>
      </w:r>
    </w:p>
    <w:p w14:paraId="2AADA34A">
      <w:pPr>
        <w:pStyle w:val="132"/>
      </w:pPr>
      <w:r>
        <w:rPr>
          <w:rFonts w:hint="eastAsia"/>
        </w:rPr>
        <w:t>衍生特征可由基础特征通过组合、交叉、比值、时序衰减等运算产生，衍生逻辑应文档化。</w:t>
      </w:r>
    </w:p>
    <w:p w14:paraId="4D1624B2">
      <w:pPr>
        <w:pStyle w:val="65"/>
        <w:spacing w:before="120" w:after="120"/>
      </w:pPr>
      <w:r>
        <w:rPr>
          <w:rFonts w:hint="eastAsia"/>
        </w:rPr>
        <w:t>特征选择与降维</w:t>
      </w:r>
    </w:p>
    <w:p w14:paraId="658A95B5">
      <w:pPr>
        <w:pStyle w:val="56"/>
        <w:ind w:firstLine="420"/>
      </w:pPr>
      <w:r>
        <w:rPr>
          <w:rFonts w:hint="eastAsia"/>
        </w:rPr>
        <w:t>特征选择与降维应遵循下列规则：</w:t>
      </w:r>
    </w:p>
    <w:p w14:paraId="109E20D1">
      <w:pPr>
        <w:pStyle w:val="132"/>
      </w:pPr>
      <w:r>
        <w:rPr>
          <w:rFonts w:hint="eastAsia"/>
        </w:rPr>
        <w:t>可采用过滤式、包裹式或嵌入式方法进行特征选择，所选方法应与后续模型训练协同评估；</w:t>
      </w:r>
    </w:p>
    <w:p w14:paraId="1D5DA029">
      <w:pPr>
        <w:pStyle w:val="132"/>
      </w:pPr>
      <w:r>
        <w:rPr>
          <w:rFonts w:hint="eastAsia"/>
        </w:rPr>
        <w:t>应删除方差接近零、缺失率超过阈值且无业务含义的特征；</w:t>
      </w:r>
    </w:p>
    <w:p w14:paraId="2BD5FB25">
      <w:pPr>
        <w:pStyle w:val="132"/>
      </w:pPr>
      <w:r>
        <w:rPr>
          <w:rFonts w:hint="eastAsia"/>
        </w:rPr>
        <w:t>若采用主成分分析等方法进行降维，应评估降维对模型可解释性的影响；</w:t>
      </w:r>
    </w:p>
    <w:p w14:paraId="4B108166">
      <w:pPr>
        <w:pStyle w:val="132"/>
      </w:pPr>
      <w:r>
        <w:rPr>
          <w:rFonts w:hint="eastAsia"/>
        </w:rPr>
        <w:t>宜定期基于特征重要性分析对特征集合进行裁剪，下线长期贡献度低的特征。</w:t>
      </w:r>
    </w:p>
    <w:p w14:paraId="7FB9E4F4">
      <w:pPr>
        <w:pStyle w:val="65"/>
        <w:spacing w:before="120" w:after="120"/>
      </w:pPr>
      <w:r>
        <w:rPr>
          <w:rFonts w:hint="eastAsia"/>
        </w:rPr>
        <w:t>特征存储与在线服务</w:t>
      </w:r>
    </w:p>
    <w:p w14:paraId="19916DE9">
      <w:pPr>
        <w:pStyle w:val="56"/>
        <w:ind w:firstLine="420"/>
      </w:pPr>
      <w:r>
        <w:rPr>
          <w:rFonts w:hint="eastAsia"/>
        </w:rPr>
        <w:t>特征存储与在线服务应满足下列要求：</w:t>
      </w:r>
    </w:p>
    <w:p w14:paraId="7B32547D">
      <w:pPr>
        <w:pStyle w:val="132"/>
      </w:pPr>
      <w:r>
        <w:rPr>
          <w:rFonts w:hint="eastAsia"/>
        </w:rPr>
        <w:t>离线特征宜存储于分布式文件系统或特征平台，供模型训练批量消费；</w:t>
      </w:r>
    </w:p>
    <w:p w14:paraId="54E03F3D">
      <w:pPr>
        <w:pStyle w:val="132"/>
      </w:pPr>
      <w:r>
        <w:rPr>
          <w:rFonts w:hint="eastAsia"/>
        </w:rPr>
        <w:t>在线特征应存入低延迟键值存储或内存数据库，满足线上推理的实时访问；</w:t>
      </w:r>
    </w:p>
    <w:p w14:paraId="39E6DC81">
      <w:pPr>
        <w:pStyle w:val="132"/>
      </w:pPr>
      <w:r>
        <w:rPr>
          <w:rFonts w:hint="eastAsia"/>
        </w:rPr>
        <w:t>特征生成逻辑应在离线训练和在线推理两套环境下保持严格一致，宜采用统一的特征计算代码或配置；</w:t>
      </w:r>
    </w:p>
    <w:p w14:paraId="68A6166E">
      <w:pPr>
        <w:pStyle w:val="132"/>
      </w:pPr>
      <w:r>
        <w:rPr>
          <w:rFonts w:hint="eastAsia"/>
        </w:rPr>
        <w:t>在线特征查询的99分位延迟延迟宜小于10 ms，特征服务应具备高可用和自动容灾切换能力；</w:t>
      </w:r>
    </w:p>
    <w:p w14:paraId="46B7646F">
      <w:pPr>
        <w:pStyle w:val="132"/>
      </w:pPr>
      <w:r>
        <w:rPr>
          <w:rFonts w:hint="eastAsia"/>
        </w:rPr>
        <w:t>特征应支持版本管理，特征变更后应能快速回滚。</w:t>
      </w:r>
    </w:p>
    <w:p w14:paraId="5CA6858F">
      <w:pPr>
        <w:pStyle w:val="65"/>
        <w:spacing w:before="120" w:after="120"/>
      </w:pPr>
      <w:r>
        <w:rPr>
          <w:rFonts w:hint="eastAsia"/>
        </w:rPr>
        <w:t>特征监控与更新</w:t>
      </w:r>
    </w:p>
    <w:p w14:paraId="7B5E939D">
      <w:pPr>
        <w:pStyle w:val="56"/>
        <w:ind w:firstLine="420"/>
      </w:pPr>
      <w:r>
        <w:rPr>
          <w:rFonts w:hint="eastAsia"/>
        </w:rPr>
        <w:t>应建立特征监控与更新机制，具体包括：</w:t>
      </w:r>
    </w:p>
    <w:p w14:paraId="7651F7FA">
      <w:pPr>
        <w:pStyle w:val="132"/>
      </w:pPr>
      <w:r>
        <w:rPr>
          <w:rFonts w:hint="eastAsia"/>
        </w:rPr>
        <w:t>特征分布漂移监控：持续计算特征的统计分布，对分布发生显著变化的特征触发告警并启动模型或特征更新；</w:t>
      </w:r>
    </w:p>
    <w:p w14:paraId="41A31B18">
      <w:pPr>
        <w:pStyle w:val="132"/>
      </w:pPr>
      <w:r>
        <w:rPr>
          <w:rFonts w:hint="eastAsia"/>
        </w:rPr>
        <w:t>特征覆盖率监控：监控在线请求中各特征的覆盖率，覆盖率低于设定阈值时应排查原因；</w:t>
      </w:r>
    </w:p>
    <w:p w14:paraId="29534980">
      <w:pPr>
        <w:pStyle w:val="132"/>
      </w:pPr>
      <w:r>
        <w:rPr>
          <w:rFonts w:hint="eastAsia"/>
        </w:rPr>
        <w:t>特征值合法性校验：对在线写入的特征值进行范围、类型和格式校验，不合法的特征值予以拦截并记录；</w:t>
      </w:r>
    </w:p>
    <w:p w14:paraId="7B378EE9">
      <w:pPr>
        <w:pStyle w:val="132"/>
      </w:pPr>
      <w:r>
        <w:rPr>
          <w:rFonts w:hint="eastAsia"/>
        </w:rPr>
        <w:t>特征时效性监控：跟踪特征从数据源产生到可供线上使用的时间，对延迟超过约定的特征链路进行优化；</w:t>
      </w:r>
    </w:p>
    <w:p w14:paraId="4EEB000A">
      <w:pPr>
        <w:pStyle w:val="132"/>
      </w:pPr>
      <w:r>
        <w:rPr>
          <w:rFonts w:hint="eastAsia"/>
        </w:rPr>
        <w:t>特征生命周期管理：每个特征上线时应明确负责人、使用场景和预期有效期，特征下线应经过影响评估并通知下游模型。</w:t>
      </w:r>
    </w:p>
    <w:p w14:paraId="6504672A">
      <w:pPr>
        <w:pStyle w:val="104"/>
        <w:spacing w:before="240" w:after="240"/>
      </w:pPr>
      <w:bookmarkStart w:id="46" w:name="_Toc230189913"/>
      <w:r>
        <w:rPr>
          <w:rFonts w:hint="eastAsia"/>
        </w:rPr>
        <w:t>应用功能要求</w:t>
      </w:r>
      <w:bookmarkEnd w:id="46"/>
    </w:p>
    <w:p w14:paraId="30449E31">
      <w:pPr>
        <w:pStyle w:val="105"/>
        <w:spacing w:before="120" w:after="120"/>
      </w:pPr>
      <w:r>
        <w:rPr>
          <w:rFonts w:hint="eastAsia"/>
        </w:rPr>
        <w:t>模型开发</w:t>
      </w:r>
    </w:p>
    <w:p w14:paraId="60306CCB">
      <w:pPr>
        <w:pStyle w:val="65"/>
        <w:spacing w:before="120" w:after="120"/>
      </w:pPr>
      <w:r>
        <w:rPr>
          <w:rFonts w:hint="eastAsia"/>
        </w:rPr>
        <w:t>开发流程</w:t>
      </w:r>
    </w:p>
    <w:p w14:paraId="3CCA913F">
      <w:pPr>
        <w:pStyle w:val="56"/>
        <w:ind w:firstLine="420"/>
      </w:pPr>
      <w:r>
        <w:rPr>
          <w:rFonts w:hint="eastAsia"/>
        </w:rPr>
        <w:t>模型开发宜遵循以下流程：</w:t>
      </w:r>
    </w:p>
    <w:p w14:paraId="4232EE23">
      <w:pPr>
        <w:pStyle w:val="132"/>
      </w:pPr>
      <w:r>
        <w:rPr>
          <w:rFonts w:hint="eastAsia"/>
        </w:rPr>
        <w:t>问题定义与可行性分析，明确业务目标和技术约束；</w:t>
      </w:r>
    </w:p>
    <w:p w14:paraId="36E67CCC">
      <w:pPr>
        <w:pStyle w:val="132"/>
      </w:pPr>
      <w:r>
        <w:rPr>
          <w:rFonts w:hint="eastAsia"/>
        </w:rPr>
        <w:t>数据准备与特征工程，构建训练和评估所需数据集；</w:t>
      </w:r>
    </w:p>
    <w:p w14:paraId="434E6DE8">
      <w:pPr>
        <w:pStyle w:val="132"/>
      </w:pPr>
      <w:r>
        <w:rPr>
          <w:rFonts w:hint="eastAsia"/>
        </w:rPr>
        <w:t>模型选型与实验设计，确定基线方案和对比实验；</w:t>
      </w:r>
    </w:p>
    <w:p w14:paraId="32DB4848">
      <w:pPr>
        <w:pStyle w:val="132"/>
      </w:pPr>
      <w:r>
        <w:rPr>
          <w:rFonts w:hint="eastAsia"/>
        </w:rPr>
        <w:t>模型训练与超参数调优，记录全部实验过程；</w:t>
      </w:r>
    </w:p>
    <w:p w14:paraId="2170B452">
      <w:pPr>
        <w:pStyle w:val="132"/>
      </w:pPr>
      <w:r>
        <w:rPr>
          <w:rFonts w:hint="eastAsia"/>
        </w:rPr>
        <w:t>模型评估与验证，产出评估报告和模型产出物；</w:t>
      </w:r>
    </w:p>
    <w:p w14:paraId="7BC2702C">
      <w:pPr>
        <w:pStyle w:val="132"/>
      </w:pPr>
      <w:r>
        <w:rPr>
          <w:rFonts w:hint="eastAsia"/>
        </w:rPr>
        <w:t>模型归档，将最终模型及其依赖纳入统一管理。</w:t>
      </w:r>
    </w:p>
    <w:p w14:paraId="21BA6F95">
      <w:pPr>
        <w:pStyle w:val="65"/>
        <w:spacing w:before="120" w:after="120"/>
      </w:pPr>
      <w:r>
        <w:rPr>
          <w:rFonts w:hint="eastAsia"/>
        </w:rPr>
        <w:t>实验管理</w:t>
      </w:r>
    </w:p>
    <w:p w14:paraId="08577A3A">
      <w:pPr>
        <w:pStyle w:val="56"/>
        <w:ind w:firstLine="420"/>
      </w:pPr>
      <w:r>
        <w:rPr>
          <w:rFonts w:hint="eastAsia"/>
        </w:rPr>
        <w:t>模型训练实验管理应符合下列要求：</w:t>
      </w:r>
    </w:p>
    <w:p w14:paraId="1EF8C768">
      <w:pPr>
        <w:pStyle w:val="132"/>
      </w:pPr>
      <w:r>
        <w:rPr>
          <w:rFonts w:hint="eastAsia"/>
        </w:rPr>
        <w:t>应记录每次实验的代码版本、数据版本、超参数、随机种子及软件环境，保障实验可复现；</w:t>
      </w:r>
    </w:p>
    <w:p w14:paraId="4906AD6F">
      <w:pPr>
        <w:pStyle w:val="132"/>
      </w:pPr>
      <w:r>
        <w:rPr>
          <w:rFonts w:hint="eastAsia"/>
        </w:rPr>
        <w:t>模型选择应采用独立于测试集的验证集，防止数据泄露；</w:t>
      </w:r>
    </w:p>
    <w:p w14:paraId="20384E32">
      <w:pPr>
        <w:pStyle w:val="132"/>
      </w:pPr>
      <w:r>
        <w:rPr>
          <w:rFonts w:hint="eastAsia"/>
        </w:rPr>
        <w:t>训练任务应支持断点续训和分布式训练；</w:t>
      </w:r>
    </w:p>
    <w:p w14:paraId="2B1CA9F5">
      <w:pPr>
        <w:pStyle w:val="132"/>
      </w:pPr>
      <w:r>
        <w:rPr>
          <w:rFonts w:hint="eastAsia"/>
        </w:rPr>
        <w:t>实验管理平台宜提供多实验指标对比和模型血缘追踪功能。</w:t>
      </w:r>
    </w:p>
    <w:p w14:paraId="70B4928F">
      <w:pPr>
        <w:pStyle w:val="65"/>
        <w:spacing w:before="120" w:after="120"/>
      </w:pPr>
      <w:r>
        <w:rPr>
          <w:rFonts w:hint="eastAsia"/>
        </w:rPr>
        <w:t>模型选型</w:t>
      </w:r>
    </w:p>
    <w:p w14:paraId="5A677EAB">
      <w:pPr>
        <w:pStyle w:val="56"/>
        <w:ind w:firstLine="420"/>
      </w:pPr>
      <w:r>
        <w:rPr>
          <w:rFonts w:hint="eastAsia"/>
        </w:rPr>
        <w:t>模型选型应综合考虑以下因素：</w:t>
      </w:r>
    </w:p>
    <w:p w14:paraId="4F7356BD">
      <w:pPr>
        <w:pStyle w:val="132"/>
      </w:pPr>
      <w:r>
        <w:rPr>
          <w:rFonts w:hint="eastAsia"/>
        </w:rPr>
        <w:t>业务指标与工程指标的平衡；</w:t>
      </w:r>
    </w:p>
    <w:p w14:paraId="16D36ABA">
      <w:pPr>
        <w:pStyle w:val="132"/>
      </w:pPr>
      <w:r>
        <w:rPr>
          <w:rFonts w:hint="eastAsia"/>
        </w:rPr>
        <w:t>业务场景对模型可解释性的要求；</w:t>
      </w:r>
    </w:p>
    <w:p w14:paraId="47B221C9">
      <w:pPr>
        <w:pStyle w:val="132"/>
      </w:pPr>
      <w:r>
        <w:rPr>
          <w:rFonts w:hint="eastAsia"/>
        </w:rPr>
        <w:t>线上推理环境的硬件能力；</w:t>
      </w:r>
    </w:p>
    <w:p w14:paraId="17C6E90C">
      <w:pPr>
        <w:pStyle w:val="132"/>
      </w:pPr>
      <w:r>
        <w:rPr>
          <w:rFonts w:hint="eastAsia"/>
        </w:rPr>
        <w:t>在同等效果下，宜优先选择结构简洁、计算效率高的模型。</w:t>
      </w:r>
    </w:p>
    <w:p w14:paraId="76AA474D">
      <w:pPr>
        <w:pStyle w:val="105"/>
        <w:spacing w:before="120" w:after="120"/>
      </w:pPr>
      <w:r>
        <w:rPr>
          <w:rFonts w:hint="eastAsia"/>
        </w:rPr>
        <w:t>模型评估</w:t>
      </w:r>
    </w:p>
    <w:p w14:paraId="72BEAF48">
      <w:pPr>
        <w:pStyle w:val="65"/>
        <w:spacing w:before="120" w:after="120"/>
      </w:pPr>
      <w:r>
        <w:rPr>
          <w:rFonts w:hint="eastAsia"/>
        </w:rPr>
        <w:t>离线评估</w:t>
      </w:r>
    </w:p>
    <w:p w14:paraId="185750A0">
      <w:pPr>
        <w:pStyle w:val="56"/>
        <w:ind w:firstLine="420"/>
      </w:pPr>
      <w:r>
        <w:rPr>
          <w:rFonts w:hint="eastAsia"/>
        </w:rPr>
        <w:t>离线评估应符合下列规定：</w:t>
      </w:r>
    </w:p>
    <w:p w14:paraId="68BCBA27">
      <w:pPr>
        <w:pStyle w:val="132"/>
      </w:pPr>
      <w:r>
        <w:rPr>
          <w:rFonts w:hint="eastAsia"/>
        </w:rPr>
        <w:t>应使用与训练数据分布一致且无重叠的测试集评估模型效果；</w:t>
      </w:r>
    </w:p>
    <w:p w14:paraId="2B3E5491">
      <w:pPr>
        <w:pStyle w:val="132"/>
      </w:pPr>
      <w:r>
        <w:rPr>
          <w:rFonts w:hint="eastAsia"/>
        </w:rPr>
        <w:t>分类任务应计算准确率、精确率、召回率、AUC等；回归任务应计算均方误差、平均绝对误差等；排序任务应计算归一化折损累计增益等；</w:t>
      </w:r>
    </w:p>
    <w:p w14:paraId="113F15D2">
      <w:pPr>
        <w:pStyle w:val="132"/>
      </w:pPr>
      <w:r>
        <w:rPr>
          <w:rFonts w:hint="eastAsia"/>
        </w:rPr>
        <w:t>应按用户分层、商品类目等业务维度细分评估，识别模型表现差异；</w:t>
      </w:r>
    </w:p>
    <w:p w14:paraId="3C34D648">
      <w:pPr>
        <w:pStyle w:val="132"/>
      </w:pPr>
      <w:r>
        <w:rPr>
          <w:rFonts w:hint="eastAsia"/>
        </w:rPr>
        <w:t>应评估模型对噪声输入、缺失特征等情况的鲁棒性；</w:t>
      </w:r>
    </w:p>
    <w:p w14:paraId="520D5C73">
      <w:pPr>
        <w:pStyle w:val="132"/>
      </w:pPr>
      <w:r>
        <w:rPr>
          <w:rFonts w:hint="eastAsia"/>
        </w:rPr>
        <w:t>应与基线模型及上一版本模型进行效果对比，报告提升或下降幅度。</w:t>
      </w:r>
    </w:p>
    <w:p w14:paraId="5B96252E">
      <w:pPr>
        <w:pStyle w:val="65"/>
        <w:spacing w:before="120" w:after="120"/>
      </w:pPr>
      <w:r>
        <w:rPr>
          <w:rFonts w:hint="eastAsia"/>
        </w:rPr>
        <w:t>在线评估</w:t>
      </w:r>
    </w:p>
    <w:p w14:paraId="2A1D2E94">
      <w:pPr>
        <w:pStyle w:val="56"/>
        <w:ind w:firstLine="420"/>
      </w:pPr>
      <w:r>
        <w:rPr>
          <w:rFonts w:hint="eastAsia"/>
        </w:rPr>
        <w:t>模型上线后应通过在线实验方式进行评估，并符合下列要求：</w:t>
      </w:r>
    </w:p>
    <w:p w14:paraId="3C90A794">
      <w:pPr>
        <w:pStyle w:val="132"/>
      </w:pPr>
      <w:r>
        <w:rPr>
          <w:rFonts w:hint="eastAsia"/>
        </w:rPr>
        <w:t>应定义核心业务指标和护栏指标，实验周期应覆盖完整业务波动；</w:t>
      </w:r>
    </w:p>
    <w:p w14:paraId="14799B01">
      <w:pPr>
        <w:pStyle w:val="132"/>
      </w:pPr>
      <w:r>
        <w:rPr>
          <w:rFonts w:hint="eastAsia"/>
        </w:rPr>
        <w:t>应配置合理分流比例，确保统计显著性；</w:t>
      </w:r>
    </w:p>
    <w:p w14:paraId="183C3EB9">
      <w:pPr>
        <w:pStyle w:val="132"/>
      </w:pPr>
      <w:r>
        <w:rPr>
          <w:rFonts w:hint="eastAsia"/>
        </w:rPr>
        <w:t>核心指标出现显著下降时，应及时触发回滚。</w:t>
      </w:r>
    </w:p>
    <w:p w14:paraId="3AF120C2">
      <w:pPr>
        <w:pStyle w:val="105"/>
        <w:spacing w:before="120" w:after="120"/>
      </w:pPr>
      <w:r>
        <w:rPr>
          <w:rFonts w:hint="eastAsia"/>
        </w:rPr>
        <w:t>模型部署</w:t>
      </w:r>
    </w:p>
    <w:p w14:paraId="5BB5CEF8">
      <w:pPr>
        <w:pStyle w:val="65"/>
        <w:spacing w:before="120" w:after="120"/>
      </w:pPr>
      <w:r>
        <w:rPr>
          <w:rFonts w:hint="eastAsia"/>
        </w:rPr>
        <w:t>部署方式</w:t>
      </w:r>
    </w:p>
    <w:p w14:paraId="68D1F8BA">
      <w:pPr>
        <w:pStyle w:val="56"/>
        <w:ind w:firstLine="420"/>
      </w:pPr>
      <w:r>
        <w:rPr>
          <w:rFonts w:hint="eastAsia"/>
        </w:rPr>
        <w:t>模型部署应支持以下方式：</w:t>
      </w:r>
    </w:p>
    <w:p w14:paraId="5A3FE258">
      <w:pPr>
        <w:pStyle w:val="132"/>
      </w:pPr>
      <w:r>
        <w:rPr>
          <w:rFonts w:hint="eastAsia"/>
        </w:rPr>
        <w:t>在线服务：将模型封装为推理服务，通过API或SDK提供实时预测；</w:t>
      </w:r>
    </w:p>
    <w:p w14:paraId="5FDB1D96">
      <w:pPr>
        <w:pStyle w:val="132"/>
      </w:pPr>
      <w:r>
        <w:rPr>
          <w:rFonts w:hint="eastAsia"/>
        </w:rPr>
        <w:t>离线批量推理：对大批量数据进行异步预测，结果持久化后供下游使用。</w:t>
      </w:r>
    </w:p>
    <w:p w14:paraId="63F02879">
      <w:pPr>
        <w:pStyle w:val="65"/>
        <w:spacing w:before="120" w:after="120"/>
      </w:pPr>
      <w:r>
        <w:rPr>
          <w:rFonts w:hint="eastAsia"/>
        </w:rPr>
        <w:t>部署流程</w:t>
      </w:r>
    </w:p>
    <w:p w14:paraId="0F4DA5F7">
      <w:pPr>
        <w:pStyle w:val="56"/>
        <w:ind w:firstLine="420"/>
      </w:pPr>
      <w:r>
        <w:rPr>
          <w:rFonts w:hint="eastAsia"/>
        </w:rPr>
        <w:t>模型从开发环境到生产环境的部署应遵循分级发布流程：</w:t>
      </w:r>
    </w:p>
    <w:p w14:paraId="30E4BFCF">
      <w:pPr>
        <w:pStyle w:val="132"/>
      </w:pPr>
      <w:r>
        <w:rPr>
          <w:rFonts w:hint="eastAsia"/>
        </w:rPr>
        <w:t>模型上线前应通过离线评估、稳定性测试和小流量在线验证；</w:t>
      </w:r>
    </w:p>
    <w:p w14:paraId="529F4230">
      <w:pPr>
        <w:pStyle w:val="132"/>
      </w:pPr>
      <w:r>
        <w:rPr>
          <w:rFonts w:hint="eastAsia"/>
        </w:rPr>
        <w:t>应在灰度环境验证模型性能和服务稳定性，逐步增加流量至全量；</w:t>
      </w:r>
    </w:p>
    <w:p w14:paraId="42BB0B0C">
      <w:pPr>
        <w:pStyle w:val="132"/>
      </w:pPr>
      <w:r>
        <w:rPr>
          <w:rFonts w:hint="eastAsia"/>
        </w:rPr>
        <w:t>应提供模型版本管理能力，同一推理服务接口宜支持多版本共存及流量按比例分配；</w:t>
      </w:r>
    </w:p>
    <w:p w14:paraId="1CA39C82">
      <w:pPr>
        <w:pStyle w:val="132"/>
      </w:pPr>
      <w:r>
        <w:rPr>
          <w:rFonts w:hint="eastAsia"/>
        </w:rPr>
        <w:t>部署时应将训练模型转换为推理优化的格式；</w:t>
      </w:r>
    </w:p>
    <w:p w14:paraId="4BB7F633">
      <w:pPr>
        <w:pStyle w:val="132"/>
      </w:pPr>
      <w:r>
        <w:rPr>
          <w:rFonts w:hint="eastAsia"/>
        </w:rPr>
        <w:t>模型包应包含模型文件、预处理逻辑、依赖声明和配置文件。</w:t>
      </w:r>
    </w:p>
    <w:p w14:paraId="4CE3F613">
      <w:pPr>
        <w:pStyle w:val="105"/>
        <w:spacing w:before="120" w:after="120"/>
      </w:pPr>
      <w:r>
        <w:rPr>
          <w:rFonts w:hint="eastAsia"/>
        </w:rPr>
        <w:t>模型推理服务</w:t>
      </w:r>
    </w:p>
    <w:p w14:paraId="7B810812">
      <w:pPr>
        <w:pStyle w:val="65"/>
        <w:spacing w:before="120" w:after="120"/>
      </w:pPr>
      <w:r>
        <w:rPr>
          <w:rFonts w:hint="eastAsia"/>
        </w:rPr>
        <w:t>性能要求</w:t>
      </w:r>
    </w:p>
    <w:p w14:paraId="201F8850">
      <w:pPr>
        <w:pStyle w:val="56"/>
        <w:ind w:firstLine="420"/>
      </w:pPr>
      <w:r>
        <w:rPr>
          <w:rFonts w:hint="eastAsia"/>
        </w:rPr>
        <w:t>在线推理服务应满足下列性能要求：</w:t>
      </w:r>
    </w:p>
    <w:p w14:paraId="74BD1C95">
      <w:pPr>
        <w:pStyle w:val="132"/>
      </w:pPr>
      <w:r>
        <w:rPr>
          <w:rFonts w:hint="eastAsia"/>
        </w:rPr>
        <w:t>推荐、搜索等时延敏感场景，95分位延迟推理延迟宜小于50 ms；</w:t>
      </w:r>
    </w:p>
    <w:p w14:paraId="15FE70D3">
      <w:pPr>
        <w:pStyle w:val="132"/>
      </w:pPr>
      <w:r>
        <w:rPr>
          <w:rFonts w:hint="eastAsia"/>
        </w:rPr>
        <w:t>应支持动态批处理或请求合并，提升计算资源利用率；</w:t>
      </w:r>
    </w:p>
    <w:p w14:paraId="5D3B0952">
      <w:pPr>
        <w:pStyle w:val="132"/>
      </w:pPr>
      <w:r>
        <w:rPr>
          <w:rFonts w:hint="eastAsia"/>
        </w:rPr>
        <w:t>服务应具备水平扩展能力和自动扩缩容机制；</w:t>
      </w:r>
    </w:p>
    <w:p w14:paraId="3CE1713F">
      <w:pPr>
        <w:pStyle w:val="132"/>
      </w:pPr>
      <w:r>
        <w:rPr>
          <w:rFonts w:hint="eastAsia"/>
        </w:rPr>
        <w:t>应设置并发控制、请求排队和超时处理机制。</w:t>
      </w:r>
    </w:p>
    <w:p w14:paraId="4BCF21B6">
      <w:pPr>
        <w:pStyle w:val="65"/>
        <w:spacing w:before="120" w:after="120"/>
      </w:pPr>
      <w:r>
        <w:rPr>
          <w:rFonts w:hint="eastAsia"/>
        </w:rPr>
        <w:t>可靠性要求</w:t>
      </w:r>
    </w:p>
    <w:p w14:paraId="644D1610">
      <w:pPr>
        <w:pStyle w:val="56"/>
        <w:ind w:firstLine="420"/>
      </w:pPr>
      <w:r>
        <w:rPr>
          <w:rFonts w:hint="eastAsia"/>
        </w:rPr>
        <w:t>推理服务应达到以下可靠性指标：</w:t>
      </w:r>
    </w:p>
    <w:p w14:paraId="7C544092">
      <w:pPr>
        <w:pStyle w:val="132"/>
      </w:pPr>
      <w:r>
        <w:rPr>
          <w:rFonts w:hint="eastAsia"/>
        </w:rPr>
        <w:t>服务可用性不低于99.9%；</w:t>
      </w:r>
    </w:p>
    <w:p w14:paraId="473E1C4C">
      <w:pPr>
        <w:pStyle w:val="132"/>
      </w:pPr>
      <w:r>
        <w:rPr>
          <w:rFonts w:hint="eastAsia"/>
        </w:rPr>
        <w:t>应具备容灾与故障转移能力，节点故障时可自动切换；</w:t>
      </w:r>
    </w:p>
    <w:p w14:paraId="34D061CF">
      <w:pPr>
        <w:pStyle w:val="132"/>
      </w:pPr>
      <w:r>
        <w:rPr>
          <w:rFonts w:hint="eastAsia"/>
        </w:rPr>
        <w:t>应实现健康检查与优雅上下线，避免服务中断；</w:t>
      </w:r>
    </w:p>
    <w:p w14:paraId="3944FFA4">
      <w:pPr>
        <w:pStyle w:val="132"/>
      </w:pPr>
      <w:r>
        <w:rPr>
          <w:rFonts w:hint="eastAsia"/>
        </w:rPr>
        <w:t>应对输入数据进行合法性校验，拒绝非法或超限请求并返回明确错误码。</w:t>
      </w:r>
    </w:p>
    <w:p w14:paraId="2E022E2A">
      <w:pPr>
        <w:pStyle w:val="65"/>
        <w:spacing w:before="120" w:after="120"/>
      </w:pPr>
      <w:r>
        <w:rPr>
          <w:rFonts w:hint="eastAsia"/>
        </w:rPr>
        <w:t>模型压缩与加速</w:t>
      </w:r>
    </w:p>
    <w:p w14:paraId="24B1DAF3">
      <w:pPr>
        <w:pStyle w:val="56"/>
        <w:ind w:firstLine="420"/>
      </w:pPr>
      <w:r>
        <w:rPr>
          <w:rFonts w:hint="eastAsia"/>
        </w:rPr>
        <w:t>为满足低延迟、高吞吐部署需求，宜对模型进行压缩和加速，包括：</w:t>
      </w:r>
    </w:p>
    <w:p w14:paraId="56296003">
      <w:pPr>
        <w:pStyle w:val="132"/>
      </w:pPr>
      <w:r>
        <w:rPr>
          <w:rFonts w:hint="eastAsia"/>
        </w:rPr>
        <w:t>量化：将模型参数从浮点型转为低精度整型表达；</w:t>
      </w:r>
    </w:p>
    <w:p w14:paraId="0C5534BA">
      <w:pPr>
        <w:pStyle w:val="132"/>
      </w:pPr>
      <w:r>
        <w:rPr>
          <w:rFonts w:hint="eastAsia"/>
        </w:rPr>
        <w:t>剪枝：移除贡献度低的权重或神经元；</w:t>
      </w:r>
    </w:p>
    <w:p w14:paraId="3BD46AAF">
      <w:pPr>
        <w:pStyle w:val="132"/>
      </w:pPr>
      <w:r>
        <w:rPr>
          <w:rFonts w:hint="eastAsia"/>
        </w:rPr>
        <w:t>蒸馏：使用轻量学生模型学习教师模型的能力；</w:t>
      </w:r>
    </w:p>
    <w:p w14:paraId="5F0D8E5E">
      <w:pPr>
        <w:pStyle w:val="132"/>
      </w:pPr>
      <w:r>
        <w:rPr>
          <w:rFonts w:hint="eastAsia"/>
        </w:rPr>
        <w:t>应用压缩技术后应重新评估模型效果，损失应控制在可接受范围内。</w:t>
      </w:r>
    </w:p>
    <w:p w14:paraId="0D093D62">
      <w:pPr>
        <w:pStyle w:val="105"/>
        <w:spacing w:before="120" w:after="120"/>
      </w:pPr>
      <w:r>
        <w:rPr>
          <w:rFonts w:hint="eastAsia"/>
        </w:rPr>
        <w:t>模型监控与更新</w:t>
      </w:r>
    </w:p>
    <w:p w14:paraId="14B9DB8E">
      <w:pPr>
        <w:pStyle w:val="65"/>
        <w:spacing w:before="120" w:after="120"/>
      </w:pPr>
      <w:r>
        <w:rPr>
          <w:rFonts w:hint="eastAsia"/>
        </w:rPr>
        <w:t>模型监控</w:t>
      </w:r>
    </w:p>
    <w:p w14:paraId="39288EEF">
      <w:pPr>
        <w:pStyle w:val="56"/>
        <w:ind w:firstLine="420"/>
      </w:pPr>
      <w:r>
        <w:rPr>
          <w:rFonts w:hint="eastAsia"/>
        </w:rPr>
        <w:t>应建立模型线上监控体系，监控指标包括：</w:t>
      </w:r>
    </w:p>
    <w:p w14:paraId="64003114">
      <w:pPr>
        <w:pStyle w:val="132"/>
      </w:pPr>
      <w:r>
        <w:rPr>
          <w:rFonts w:hint="eastAsia"/>
        </w:rPr>
        <w:t>业务效果指标，如点击率、转化率、相关性得分等；</w:t>
      </w:r>
    </w:p>
    <w:p w14:paraId="7667A654">
      <w:pPr>
        <w:pStyle w:val="132"/>
      </w:pPr>
      <w:r>
        <w:rPr>
          <w:rFonts w:hint="eastAsia"/>
        </w:rPr>
        <w:t>模型性能指标，如推理延迟、错误率、超时率；</w:t>
      </w:r>
    </w:p>
    <w:p w14:paraId="0164CB19">
      <w:pPr>
        <w:pStyle w:val="132"/>
      </w:pPr>
      <w:r>
        <w:rPr>
          <w:rFonts w:hint="eastAsia"/>
        </w:rPr>
        <w:t>数据漂移指标，输入特征分布与训练基线分布的距离；</w:t>
      </w:r>
    </w:p>
    <w:p w14:paraId="12D024D3">
      <w:pPr>
        <w:pStyle w:val="132"/>
      </w:pPr>
      <w:r>
        <w:rPr>
          <w:rFonts w:hint="eastAsia"/>
        </w:rPr>
        <w:t>模型预测分布，预测值的均值、方差等统计量；</w:t>
      </w:r>
    </w:p>
    <w:p w14:paraId="5621629B">
      <w:pPr>
        <w:pStyle w:val="132"/>
      </w:pPr>
      <w:r>
        <w:rPr>
          <w:rFonts w:hint="eastAsia"/>
        </w:rPr>
        <w:t>计算资源使用率，包括CPU、GPU、内存及显存。</w:t>
      </w:r>
    </w:p>
    <w:p w14:paraId="082DB85F">
      <w:pPr>
        <w:pStyle w:val="65"/>
        <w:spacing w:before="120" w:after="120"/>
      </w:pPr>
      <w:r>
        <w:rPr>
          <w:rFonts w:hint="eastAsia"/>
        </w:rPr>
        <w:t>模型更新</w:t>
      </w:r>
    </w:p>
    <w:p w14:paraId="5D06C032">
      <w:pPr>
        <w:pStyle w:val="56"/>
        <w:ind w:firstLine="420"/>
      </w:pPr>
      <w:r>
        <w:rPr>
          <w:rFonts w:hint="eastAsia"/>
        </w:rPr>
        <w:t>模型更新应遵循下列规则：</w:t>
      </w:r>
    </w:p>
    <w:p w14:paraId="67081408">
      <w:pPr>
        <w:pStyle w:val="132"/>
      </w:pPr>
      <w:r>
        <w:rPr>
          <w:rFonts w:hint="eastAsia"/>
        </w:rPr>
        <w:t>更新可由固定周期、数据积累量或模型效果衰减触发；</w:t>
      </w:r>
    </w:p>
    <w:p w14:paraId="3BF556E4">
      <w:pPr>
        <w:pStyle w:val="132"/>
      </w:pPr>
      <w:r>
        <w:rPr>
          <w:rFonts w:hint="eastAsia"/>
        </w:rPr>
        <w:t>更新方式可采用全量重训、增量训练或在线学习；</w:t>
      </w:r>
    </w:p>
    <w:p w14:paraId="4E133674">
      <w:pPr>
        <w:pStyle w:val="132"/>
      </w:pPr>
      <w:r>
        <w:rPr>
          <w:rFonts w:hint="eastAsia"/>
        </w:rPr>
        <w:t>新模型上线前应完成离线评估及在线对比，效果不劣于现网版本；</w:t>
      </w:r>
    </w:p>
    <w:p w14:paraId="521CE0DF">
      <w:pPr>
        <w:pStyle w:val="132"/>
      </w:pPr>
      <w:r>
        <w:rPr>
          <w:rFonts w:hint="eastAsia"/>
        </w:rPr>
        <w:t>更新应通过灰度发布进行，保留旧版本以支持快速回滚；</w:t>
      </w:r>
    </w:p>
    <w:p w14:paraId="20F57488">
      <w:pPr>
        <w:pStyle w:val="132"/>
      </w:pPr>
      <w:r>
        <w:rPr>
          <w:rFonts w:hint="eastAsia"/>
        </w:rPr>
        <w:t>每次更新后应更新模型卡片，记录训练数据范围、评估指标、上线时间及负责人信息。</w:t>
      </w:r>
    </w:p>
    <w:p w14:paraId="57D4A18A">
      <w:pPr>
        <w:pStyle w:val="104"/>
        <w:spacing w:before="240" w:after="240"/>
      </w:pPr>
      <w:bookmarkStart w:id="47" w:name="_Toc230189914"/>
      <w:r>
        <w:rPr>
          <w:rFonts w:hint="eastAsia"/>
        </w:rPr>
        <w:t>安全与合规要求</w:t>
      </w:r>
      <w:bookmarkEnd w:id="47"/>
    </w:p>
    <w:p w14:paraId="1F08BECA">
      <w:pPr>
        <w:pStyle w:val="105"/>
        <w:spacing w:before="120" w:after="120"/>
      </w:pPr>
      <w:r>
        <w:rPr>
          <w:rFonts w:hint="eastAsia"/>
        </w:rPr>
        <w:t>安全要求</w:t>
      </w:r>
    </w:p>
    <w:p w14:paraId="71D0AC28">
      <w:pPr>
        <w:pStyle w:val="65"/>
        <w:spacing w:before="120" w:after="120"/>
      </w:pPr>
      <w:r>
        <w:rPr>
          <w:rFonts w:hint="eastAsia"/>
        </w:rPr>
        <w:t>数据安全</w:t>
      </w:r>
    </w:p>
    <w:p w14:paraId="6D6969A6">
      <w:pPr>
        <w:pStyle w:val="56"/>
        <w:ind w:firstLine="420"/>
      </w:pPr>
      <w:r>
        <w:rPr>
          <w:rFonts w:hint="eastAsia"/>
        </w:rPr>
        <w:t>人工智能应用涉及的数据安全应符合下列要求：</w:t>
      </w:r>
    </w:p>
    <w:p w14:paraId="0006ED89">
      <w:pPr>
        <w:pStyle w:val="132"/>
      </w:pPr>
      <w:r>
        <w:rPr>
          <w:rFonts w:hint="eastAsia"/>
        </w:rPr>
        <w:t>训练数据、模型参数及推理结果在传输和存储过程中应采用加密保护；</w:t>
      </w:r>
    </w:p>
    <w:p w14:paraId="24D3475C">
      <w:pPr>
        <w:pStyle w:val="132"/>
      </w:pPr>
      <w:r>
        <w:rPr>
          <w:rFonts w:hint="eastAsia"/>
        </w:rPr>
        <w:t>应建立数据访问控制机制，对数据操作实行身份认证和权限管理；</w:t>
      </w:r>
    </w:p>
    <w:p w14:paraId="58655CCE">
      <w:pPr>
        <w:pStyle w:val="132"/>
      </w:pPr>
      <w:r>
        <w:rPr>
          <w:rFonts w:hint="eastAsia"/>
        </w:rPr>
        <w:t>涉及个人信息的，应遵循相关法律法规进行去标识化或匿名化处理；</w:t>
      </w:r>
    </w:p>
    <w:p w14:paraId="43A61DC8">
      <w:pPr>
        <w:pStyle w:val="132"/>
      </w:pPr>
      <w:r>
        <w:rPr>
          <w:rFonts w:hint="eastAsia"/>
        </w:rPr>
        <w:t>数据导出、下载等操作应经审批并留存审计日志。</w:t>
      </w:r>
    </w:p>
    <w:p w14:paraId="392003C4">
      <w:pPr>
        <w:pStyle w:val="65"/>
        <w:spacing w:before="120" w:after="120"/>
      </w:pPr>
      <w:r>
        <w:rPr>
          <w:rFonts w:hint="eastAsia"/>
        </w:rPr>
        <w:t>模型安全</w:t>
      </w:r>
    </w:p>
    <w:p w14:paraId="1C3D4854">
      <w:pPr>
        <w:pStyle w:val="56"/>
        <w:ind w:firstLine="420"/>
      </w:pPr>
      <w:r>
        <w:rPr>
          <w:rFonts w:hint="eastAsia"/>
        </w:rPr>
        <w:t>模型安全防护应包括以下措施：</w:t>
      </w:r>
    </w:p>
    <w:p w14:paraId="760C74FC">
      <w:pPr>
        <w:pStyle w:val="132"/>
      </w:pPr>
      <w:r>
        <w:rPr>
          <w:rFonts w:hint="eastAsia"/>
        </w:rPr>
        <w:t>应防范对抗样本攻击，对输入数据进行合法性校验和异常检测；</w:t>
      </w:r>
    </w:p>
    <w:p w14:paraId="56F0E9C5">
      <w:pPr>
        <w:pStyle w:val="132"/>
      </w:pPr>
      <w:r>
        <w:rPr>
          <w:rFonts w:hint="eastAsia"/>
        </w:rPr>
        <w:t>应防范模型窃取，限制推理接口的调用频率和返回信息粒度；</w:t>
      </w:r>
    </w:p>
    <w:p w14:paraId="73451F14">
      <w:pPr>
        <w:pStyle w:val="132"/>
      </w:pPr>
      <w:r>
        <w:rPr>
          <w:rFonts w:hint="eastAsia"/>
        </w:rPr>
        <w:t>应检测模型后门，对第三方或开源模型上线前进行安全审查；</w:t>
      </w:r>
    </w:p>
    <w:p w14:paraId="3DC62D6A">
      <w:pPr>
        <w:pStyle w:val="132"/>
      </w:pPr>
      <w:r>
        <w:rPr>
          <w:rFonts w:hint="eastAsia"/>
        </w:rPr>
        <w:t>模型文件应进行完整性校验，防止篡改和恶意替换。</w:t>
      </w:r>
    </w:p>
    <w:p w14:paraId="19D4D98F">
      <w:pPr>
        <w:pStyle w:val="65"/>
        <w:spacing w:before="120" w:after="120"/>
      </w:pPr>
      <w:r>
        <w:rPr>
          <w:rFonts w:hint="eastAsia"/>
        </w:rPr>
        <w:t>服务安全</w:t>
      </w:r>
    </w:p>
    <w:p w14:paraId="15AB12E7">
      <w:pPr>
        <w:pStyle w:val="56"/>
        <w:ind w:firstLine="420"/>
      </w:pPr>
      <w:r>
        <w:rPr>
          <w:rFonts w:hint="eastAsia"/>
        </w:rPr>
        <w:t>推理服务应具备以下安全能力：</w:t>
      </w:r>
    </w:p>
    <w:p w14:paraId="5F00D420">
      <w:pPr>
        <w:pStyle w:val="132"/>
      </w:pPr>
      <w:r>
        <w:rPr>
          <w:rFonts w:hint="eastAsia"/>
        </w:rPr>
        <w:t>API接口应进行身份认证和访问控制，支持密钥、令牌等认证方式；</w:t>
      </w:r>
    </w:p>
    <w:p w14:paraId="3DD6AFE9">
      <w:pPr>
        <w:pStyle w:val="132"/>
      </w:pPr>
      <w:r>
        <w:rPr>
          <w:rFonts w:hint="eastAsia"/>
        </w:rPr>
        <w:t>应防范拒绝服务攻击，配置流量清洗和限流策略；</w:t>
      </w:r>
    </w:p>
    <w:p w14:paraId="702740C7">
      <w:pPr>
        <w:pStyle w:val="132"/>
      </w:pPr>
      <w:r>
        <w:rPr>
          <w:rFonts w:hint="eastAsia"/>
        </w:rPr>
        <w:t>应使用安全传输协议，敏感接口采用双向认证；</w:t>
      </w:r>
    </w:p>
    <w:p w14:paraId="2CED08E8">
      <w:pPr>
        <w:pStyle w:val="132"/>
      </w:pPr>
      <w:r>
        <w:rPr>
          <w:rFonts w:hint="eastAsia"/>
        </w:rPr>
        <w:t>应记录接口调用的访问日志，包括调用方、时间、请求摘要和响应状态。</w:t>
      </w:r>
    </w:p>
    <w:p w14:paraId="472EC374">
      <w:pPr>
        <w:pStyle w:val="105"/>
        <w:spacing w:before="120" w:after="120"/>
      </w:pPr>
      <w:r>
        <w:rPr>
          <w:rFonts w:hint="eastAsia"/>
        </w:rPr>
        <w:t>合规要求</w:t>
      </w:r>
    </w:p>
    <w:p w14:paraId="5A92225A">
      <w:pPr>
        <w:pStyle w:val="65"/>
        <w:spacing w:before="120" w:after="120"/>
      </w:pPr>
      <w:r>
        <w:rPr>
          <w:rFonts w:hint="eastAsia"/>
        </w:rPr>
        <w:t>算法合规</w:t>
      </w:r>
    </w:p>
    <w:p w14:paraId="333CBBED">
      <w:pPr>
        <w:pStyle w:val="56"/>
        <w:ind w:firstLine="420"/>
      </w:pPr>
      <w:r>
        <w:rPr>
          <w:rFonts w:hint="eastAsia"/>
        </w:rPr>
        <w:t>人工智能算法的合规管理应符合下列规定：</w:t>
      </w:r>
    </w:p>
    <w:p w14:paraId="3C0235C9">
      <w:pPr>
        <w:pStyle w:val="132"/>
      </w:pPr>
      <w:r>
        <w:rPr>
          <w:rFonts w:hint="eastAsia"/>
        </w:rPr>
        <w:t>涉及算法推荐的，应遵循相关管理规定，向用户公示算法基本原理和用户权益说明；</w:t>
      </w:r>
    </w:p>
    <w:p w14:paraId="3BD62CD2">
      <w:pPr>
        <w:pStyle w:val="132"/>
      </w:pPr>
      <w:r>
        <w:rPr>
          <w:rFonts w:hint="eastAsia"/>
        </w:rPr>
        <w:t>应建立算法备案机制，对需备案的算法完成备案后方可上线；</w:t>
      </w:r>
    </w:p>
    <w:p w14:paraId="22825519">
      <w:pPr>
        <w:pStyle w:val="132"/>
      </w:pPr>
      <w:r>
        <w:rPr>
          <w:rFonts w:hint="eastAsia"/>
        </w:rPr>
        <w:t>算法决策结果应具备可解释性，能向用户说明决策的主要依据；</w:t>
      </w:r>
    </w:p>
    <w:p w14:paraId="7D076DA1">
      <w:pPr>
        <w:pStyle w:val="132"/>
      </w:pPr>
      <w:r>
        <w:rPr>
          <w:rFonts w:hint="eastAsia"/>
        </w:rPr>
        <w:t>应提供用户自主选择权，允许用户关闭个性化推荐或调整推荐偏好。</w:t>
      </w:r>
    </w:p>
    <w:p w14:paraId="73AEAD40">
      <w:pPr>
        <w:pStyle w:val="65"/>
        <w:spacing w:before="120" w:after="120"/>
      </w:pPr>
      <w:r>
        <w:rPr>
          <w:rFonts w:hint="eastAsia"/>
        </w:rPr>
        <w:t>内容合规</w:t>
      </w:r>
    </w:p>
    <w:p w14:paraId="0F395BB3">
      <w:pPr>
        <w:pStyle w:val="56"/>
        <w:ind w:firstLine="420"/>
      </w:pPr>
      <w:r>
        <w:rPr>
          <w:rFonts w:hint="eastAsia"/>
        </w:rPr>
        <w:t>人工智能生成或处理的电商内容应满足下列要求：</w:t>
      </w:r>
    </w:p>
    <w:p w14:paraId="267FA7CA">
      <w:pPr>
        <w:pStyle w:val="132"/>
      </w:pPr>
      <w:r>
        <w:rPr>
          <w:rFonts w:hint="eastAsia"/>
        </w:rPr>
        <w:t>智能生成的商品描述、营销文案等应进行合规审核，不得含有虚假宣传或误导性表述；</w:t>
      </w:r>
    </w:p>
    <w:p w14:paraId="0A54A7FC">
      <w:pPr>
        <w:pStyle w:val="132"/>
      </w:pPr>
      <w:r>
        <w:rPr>
          <w:rFonts w:hint="eastAsia"/>
        </w:rPr>
        <w:t>商品图像生成和处理不得扭曲商品真实属性；</w:t>
      </w:r>
    </w:p>
    <w:p w14:paraId="6CBD197A">
      <w:pPr>
        <w:pStyle w:val="132"/>
      </w:pPr>
      <w:r>
        <w:rPr>
          <w:rFonts w:hint="eastAsia"/>
        </w:rPr>
        <w:t>应建立内容审核机制，对违规内容进行过滤和拦截；</w:t>
      </w:r>
    </w:p>
    <w:p w14:paraId="2D876099">
      <w:pPr>
        <w:pStyle w:val="132"/>
      </w:pPr>
      <w:r>
        <w:rPr>
          <w:rFonts w:hint="eastAsia"/>
        </w:rPr>
        <w:t>审核日志应留存备查，记录审核时间、审核结果和处理方式。</w:t>
      </w:r>
    </w:p>
    <w:p w14:paraId="1369DE9B">
      <w:pPr>
        <w:pStyle w:val="65"/>
        <w:spacing w:before="120" w:after="120"/>
      </w:pPr>
      <w:r>
        <w:rPr>
          <w:rFonts w:hint="eastAsia"/>
        </w:rPr>
        <w:t>知识产权</w:t>
      </w:r>
    </w:p>
    <w:p w14:paraId="5F8D9787">
      <w:pPr>
        <w:pStyle w:val="56"/>
        <w:ind w:firstLine="420"/>
      </w:pPr>
      <w:r>
        <w:rPr>
          <w:rFonts w:hint="eastAsia"/>
        </w:rPr>
        <w:t>人工智能应用中的知识产权管理应符合下列规定：</w:t>
      </w:r>
    </w:p>
    <w:p w14:paraId="55FB1139">
      <w:pPr>
        <w:pStyle w:val="132"/>
      </w:pPr>
      <w:r>
        <w:rPr>
          <w:rFonts w:hint="eastAsia"/>
        </w:rPr>
        <w:t>使用第三方数据集、预训练模型或开源代码应遵循相应的许可协议；</w:t>
      </w:r>
    </w:p>
    <w:p w14:paraId="1BD0A93A">
      <w:pPr>
        <w:pStyle w:val="132"/>
      </w:pPr>
      <w:r>
        <w:rPr>
          <w:rFonts w:hint="eastAsia"/>
        </w:rPr>
        <w:t>应明确模型产出物的知识产权归属和使用范围；</w:t>
      </w:r>
    </w:p>
    <w:p w14:paraId="2EF8D0AA">
      <w:pPr>
        <w:pStyle w:val="132"/>
      </w:pPr>
      <w:r>
        <w:rPr>
          <w:rFonts w:hint="eastAsia"/>
        </w:rPr>
        <w:t>智能生成内容的版权标识和使用约束应予以明确。</w:t>
      </w:r>
    </w:p>
    <w:p w14:paraId="6B8C7368">
      <w:pPr>
        <w:pStyle w:val="105"/>
        <w:spacing w:before="120" w:after="120"/>
      </w:pPr>
      <w:r>
        <w:rPr>
          <w:rFonts w:hint="eastAsia"/>
        </w:rPr>
        <w:t>运行维护</w:t>
      </w:r>
    </w:p>
    <w:p w14:paraId="1FB81A20">
      <w:pPr>
        <w:pStyle w:val="65"/>
        <w:spacing w:before="120" w:after="120"/>
      </w:pPr>
      <w:r>
        <w:rPr>
          <w:rFonts w:hint="eastAsia"/>
        </w:rPr>
        <w:t>日常运维</w:t>
      </w:r>
    </w:p>
    <w:p w14:paraId="74CF0F98">
      <w:pPr>
        <w:pStyle w:val="56"/>
        <w:ind w:firstLine="420"/>
      </w:pPr>
      <w:r>
        <w:rPr>
          <w:rFonts w:hint="eastAsia"/>
        </w:rPr>
        <w:t>人工智能应用的日常运维应符合下列要求：</w:t>
      </w:r>
    </w:p>
    <w:p w14:paraId="46962F7B">
      <w:pPr>
        <w:pStyle w:val="132"/>
      </w:pPr>
      <w:r>
        <w:rPr>
          <w:rFonts w:hint="eastAsia"/>
        </w:rPr>
        <w:t>应建立值班与巡检制度，对推理服务、数据链路和计算资源进行持续监控；</w:t>
      </w:r>
    </w:p>
    <w:p w14:paraId="0AA865DE">
      <w:pPr>
        <w:pStyle w:val="132"/>
      </w:pPr>
      <w:r>
        <w:rPr>
          <w:rFonts w:hint="eastAsia"/>
        </w:rPr>
        <w:t>应建立事件分级响应机制，明确各级事件的响应时效和处理流程；</w:t>
      </w:r>
    </w:p>
    <w:p w14:paraId="7958A380">
      <w:pPr>
        <w:pStyle w:val="132"/>
      </w:pPr>
      <w:r>
        <w:rPr>
          <w:rFonts w:hint="eastAsia"/>
        </w:rPr>
        <w:t>应定期对监控指标进行分析，发现异常趋势时提前介入。</w:t>
      </w:r>
    </w:p>
    <w:p w14:paraId="118CF147">
      <w:pPr>
        <w:pStyle w:val="65"/>
        <w:spacing w:before="120" w:after="120"/>
      </w:pPr>
      <w:r>
        <w:rPr>
          <w:rFonts w:hint="eastAsia"/>
        </w:rPr>
        <w:t>变更管理</w:t>
      </w:r>
    </w:p>
    <w:p w14:paraId="6710E9E3">
      <w:pPr>
        <w:pStyle w:val="56"/>
        <w:ind w:firstLine="420"/>
      </w:pPr>
      <w:r>
        <w:rPr>
          <w:rFonts w:hint="eastAsia"/>
        </w:rPr>
        <w:t>人工智能系统的变更管理应遵循以下规范：</w:t>
      </w:r>
    </w:p>
    <w:p w14:paraId="0EE9930B">
      <w:pPr>
        <w:pStyle w:val="132"/>
      </w:pPr>
      <w:r>
        <w:rPr>
          <w:rFonts w:hint="eastAsia"/>
        </w:rPr>
        <w:t>模型、特征、数据、代码和配置的变更应提交变更申请，经评审后方可执行；</w:t>
      </w:r>
    </w:p>
    <w:p w14:paraId="31BABDDA">
      <w:pPr>
        <w:pStyle w:val="132"/>
      </w:pPr>
      <w:r>
        <w:rPr>
          <w:rFonts w:hint="eastAsia"/>
        </w:rPr>
        <w:t>变更操作应在变更窗口内完成，变更过程应全程留痕；</w:t>
      </w:r>
    </w:p>
    <w:p w14:paraId="64121827">
      <w:pPr>
        <w:pStyle w:val="132"/>
      </w:pPr>
      <w:r>
        <w:rPr>
          <w:rFonts w:hint="eastAsia"/>
        </w:rPr>
        <w:t>变更前应制定回滚方案，变更失败时应及时回滚并报告。</w:t>
      </w:r>
    </w:p>
    <w:p w14:paraId="117D8EDF">
      <w:pPr>
        <w:pStyle w:val="65"/>
        <w:spacing w:before="120" w:after="120"/>
      </w:pPr>
      <w:r>
        <w:rPr>
          <w:rFonts w:hint="eastAsia"/>
        </w:rPr>
        <w:t>应急处置</w:t>
      </w:r>
    </w:p>
    <w:p w14:paraId="18DEAE92">
      <w:pPr>
        <w:pStyle w:val="56"/>
        <w:ind w:firstLine="420"/>
      </w:pPr>
      <w:r>
        <w:rPr>
          <w:rFonts w:hint="eastAsia"/>
        </w:rPr>
        <w:t>应建立人工智能应用应急处置预案，内容包括：</w:t>
      </w:r>
    </w:p>
    <w:p w14:paraId="31DBDB4D">
      <w:pPr>
        <w:pStyle w:val="132"/>
      </w:pPr>
      <w:r>
        <w:rPr>
          <w:rFonts w:hint="eastAsia"/>
        </w:rPr>
        <w:t>模型效果严重劣化时的自动切换或回滚机制；</w:t>
      </w:r>
    </w:p>
    <w:p w14:paraId="5A78DEA8">
      <w:pPr>
        <w:pStyle w:val="132"/>
      </w:pPr>
      <w:r>
        <w:rPr>
          <w:rFonts w:hint="eastAsia"/>
        </w:rPr>
        <w:t>数据链路中断时的降级策略，保障核心业务可用；</w:t>
      </w:r>
    </w:p>
    <w:p w14:paraId="6A02AA05">
      <w:pPr>
        <w:pStyle w:val="132"/>
      </w:pPr>
      <w:r>
        <w:rPr>
          <w:rFonts w:hint="eastAsia"/>
        </w:rPr>
        <w:t>安全事件发生时，应根据等级启动通报、隔离和溯源程序；</w:t>
      </w:r>
    </w:p>
    <w:p w14:paraId="03417D9A">
      <w:pPr>
        <w:pStyle w:val="132"/>
      </w:pPr>
      <w:r>
        <w:rPr>
          <w:rFonts w:hint="eastAsia"/>
        </w:rPr>
        <w:t>应急预案应定期演练并持续改进。</w:t>
      </w:r>
    </w:p>
    <w:p w14:paraId="71C1EC40">
      <w:pPr>
        <w:pStyle w:val="65"/>
        <w:spacing w:before="120" w:after="120"/>
      </w:pPr>
      <w:r>
        <w:rPr>
          <w:rFonts w:hint="eastAsia"/>
        </w:rPr>
        <w:t>持续改进</w:t>
      </w:r>
    </w:p>
    <w:p w14:paraId="379148BC">
      <w:pPr>
        <w:pStyle w:val="56"/>
        <w:ind w:firstLine="420"/>
      </w:pPr>
      <w:r>
        <w:rPr>
          <w:rFonts w:hint="eastAsia"/>
        </w:rPr>
        <w:t>应建立人工智能应用的持续改进机制，具体包括：</w:t>
      </w:r>
    </w:p>
    <w:p w14:paraId="5BA01F73">
      <w:pPr>
        <w:pStyle w:val="132"/>
      </w:pPr>
      <w:r>
        <w:rPr>
          <w:rFonts w:hint="eastAsia"/>
        </w:rPr>
        <w:t>定期评估模型效果、系统性能和合规状况，形成评估报告；</w:t>
      </w:r>
    </w:p>
    <w:p w14:paraId="28E35FBC">
      <w:pPr>
        <w:pStyle w:val="132"/>
      </w:pPr>
      <w:r>
        <w:rPr>
          <w:rFonts w:hint="eastAsia"/>
        </w:rPr>
        <w:t>跟踪行业发展和技术演进，迭代优化架构和算法方案；</w:t>
      </w:r>
    </w:p>
    <w:p w14:paraId="35DC8AC9">
      <w:pPr>
        <w:pStyle w:val="132"/>
      </w:pPr>
      <w:r>
        <w:rPr>
          <w:rFonts w:hint="eastAsia"/>
        </w:rPr>
        <w:t>收集用户反馈和业务需求，纳入后续版本迭代计划；</w:t>
      </w:r>
    </w:p>
    <w:p w14:paraId="4F6F19A2">
      <w:pPr>
        <w:pStyle w:val="132"/>
      </w:pPr>
      <w:r>
        <w:rPr>
          <w:rFonts w:hint="eastAsia"/>
        </w:rPr>
        <w:t>建立知识库，沉淀最佳实践和故障案例，指导后续开发与运维。</w:t>
      </w:r>
    </w:p>
    <w:bookmarkEnd w:id="18"/>
    <w:p w14:paraId="3B9C59A6">
      <w:pPr>
        <w:pStyle w:val="56"/>
        <w:ind w:firstLine="0" w:firstLineChars="0"/>
        <w:jc w:val="center"/>
      </w:pPr>
      <w:bookmarkStart w:id="48" w:name="BookMark8"/>
      <w:r>
        <w:rPr>
          <w:rFonts w:hint="eastAsia"/>
        </w:rPr>
        <w:drawing>
          <wp:inline distT="0" distB="0" distL="0" distR="0">
            <wp:extent cx="1485900" cy="317500"/>
            <wp:effectExtent l="0" t="0" r="0" b="6350"/>
            <wp:docPr id="128914436" name="图片 1"/>
            <wp:cNvGraphicFramePr/>
            <a:graphic xmlns:a="http://schemas.openxmlformats.org/drawingml/2006/main">
              <a:graphicData uri="http://schemas.openxmlformats.org/drawingml/2006/picture">
                <pic:pic xmlns:pic="http://schemas.openxmlformats.org/drawingml/2006/picture">
                  <pic:nvPicPr>
                    <pic:cNvPr id="128914436" name="图片 1"/>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43057">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8369E">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58EF">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47362">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D737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C82A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465D">
    <w:pPr>
      <w:pStyle w:val="61"/>
      <w:rPr>
        <w:rFonts w:hint="eastAsia"/>
      </w:rPr>
    </w:pPr>
    <w:r>
      <w:fldChar w:fldCharType="begin"/>
    </w:r>
    <w:r>
      <w:instrText xml:space="preserve"> STYLEREF  标准文件_文件编号  \* MERGEFORMAT </w:instrText>
    </w:r>
    <w:r>
      <w:fldChar w:fldCharType="separate"/>
    </w:r>
    <w:r>
      <w:t>T/CWDPA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EF08D">
    <w:pPr>
      <w:pStyle w:val="18"/>
      <w:jc w:val="right"/>
    </w:pPr>
    <w:r>
      <w:fldChar w:fldCharType="begin"/>
    </w:r>
    <w:r>
      <w:instrText xml:space="preserve"> STYLEREF  标准文件_文件编号  \* MERGEFORMAT </w:instrText>
    </w:r>
    <w:r>
      <w:fldChar w:fldCharType="separate"/>
    </w:r>
    <w:r>
      <w:t>T/CWDPA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0A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147A"/>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9DE"/>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48D"/>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4C61"/>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4BB9"/>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A6B"/>
    <w:rsid w:val="00435DF7"/>
    <w:rsid w:val="0043741A"/>
    <w:rsid w:val="0044083F"/>
    <w:rsid w:val="00441AE7"/>
    <w:rsid w:val="00445574"/>
    <w:rsid w:val="004460A6"/>
    <w:rsid w:val="004467FB"/>
    <w:rsid w:val="00452D6B"/>
    <w:rsid w:val="00454484"/>
    <w:rsid w:val="0045517B"/>
    <w:rsid w:val="00463B77"/>
    <w:rsid w:val="00463C7B"/>
    <w:rsid w:val="004644A6"/>
    <w:rsid w:val="004659BD"/>
    <w:rsid w:val="00470775"/>
    <w:rsid w:val="004746B1"/>
    <w:rsid w:val="0047583F"/>
    <w:rsid w:val="00475DE8"/>
    <w:rsid w:val="00481C44"/>
    <w:rsid w:val="00484885"/>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B87"/>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2D46"/>
    <w:rsid w:val="005C5F21"/>
    <w:rsid w:val="005C7156"/>
    <w:rsid w:val="005D0C75"/>
    <w:rsid w:val="005D13B3"/>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603D"/>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595"/>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0C9D"/>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301F"/>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66DD"/>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880"/>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0382"/>
    <w:rsid w:val="00B21F61"/>
    <w:rsid w:val="00B261F1"/>
    <w:rsid w:val="00B265BC"/>
    <w:rsid w:val="00B31FB1"/>
    <w:rsid w:val="00B333A9"/>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2D6"/>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4FAC"/>
    <w:rsid w:val="00C25FE2"/>
    <w:rsid w:val="00C26B53"/>
    <w:rsid w:val="00C279B2"/>
    <w:rsid w:val="00C33E50"/>
    <w:rsid w:val="00C34C20"/>
    <w:rsid w:val="00C35A3E"/>
    <w:rsid w:val="00C42130"/>
    <w:rsid w:val="00C423A4"/>
    <w:rsid w:val="00C423E3"/>
    <w:rsid w:val="00C44BF5"/>
    <w:rsid w:val="00C521D6"/>
    <w:rsid w:val="00C53574"/>
    <w:rsid w:val="00C55232"/>
    <w:rsid w:val="00C553A4"/>
    <w:rsid w:val="00C55A06"/>
    <w:rsid w:val="00C55D03"/>
    <w:rsid w:val="00C601BC"/>
    <w:rsid w:val="00C6329F"/>
    <w:rsid w:val="00C63340"/>
    <w:rsid w:val="00C643F9"/>
    <w:rsid w:val="00C64E95"/>
    <w:rsid w:val="00C70294"/>
    <w:rsid w:val="00C71372"/>
    <w:rsid w:val="00C72410"/>
    <w:rsid w:val="00C7287F"/>
    <w:rsid w:val="00C80CB8"/>
    <w:rsid w:val="00C819F8"/>
    <w:rsid w:val="00C8248C"/>
    <w:rsid w:val="00C849BB"/>
    <w:rsid w:val="00C84B92"/>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E82"/>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5403"/>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83D"/>
    <w:rsid w:val="00FF5B99"/>
    <w:rsid w:val="00FF730C"/>
    <w:rsid w:val="00FF73F4"/>
    <w:rsid w:val="00FF7CE4"/>
    <w:rsid w:val="00FF7E39"/>
    <w:rsid w:val="1ECD4B52"/>
    <w:rsid w:val="51490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Unresolved Mention"/>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A44F992ACAA48FABEAD61732F26F4BA"/>
        <w:style w:val=""/>
        <w:category>
          <w:name w:val="常规"/>
          <w:gallery w:val="placeholder"/>
        </w:category>
        <w:types>
          <w:type w:val="bbPlcHdr"/>
        </w:types>
        <w:behaviors>
          <w:behavior w:val="content"/>
        </w:behaviors>
        <w:description w:val=""/>
        <w:guid w:val="{A7BFCB21-9E09-495E-BC62-121A246F72F7}"/>
      </w:docPartPr>
      <w:docPartBody>
        <w:p w14:paraId="217A27C1">
          <w:pPr>
            <w:pStyle w:val="5"/>
            <w:rPr>
              <w:rFonts w:hint="eastAsia"/>
            </w:rPr>
          </w:pPr>
          <w:r>
            <w:rPr>
              <w:rStyle w:val="4"/>
              <w:rFonts w:hint="eastAsia"/>
            </w:rPr>
            <w:t>单击或点击此处输入文字。</w:t>
          </w:r>
        </w:p>
      </w:docPartBody>
    </w:docPart>
    <w:docPart>
      <w:docPartPr>
        <w:name w:val="13E51B5ABB0E474EA92252A9F345E831"/>
        <w:style w:val=""/>
        <w:category>
          <w:name w:val="常规"/>
          <w:gallery w:val="placeholder"/>
        </w:category>
        <w:types>
          <w:type w:val="bbPlcHdr"/>
        </w:types>
        <w:behaviors>
          <w:behavior w:val="content"/>
        </w:behaviors>
        <w:description w:val=""/>
        <w:guid w:val="{5F2A3794-C07B-4A92-B65A-A0ABD36F8203}"/>
      </w:docPartPr>
      <w:docPartBody>
        <w:p w14:paraId="3844DAF9">
          <w:pPr>
            <w:pStyle w:val="6"/>
            <w:rPr>
              <w:rFonts w:hint="eastAsia"/>
            </w:rPr>
          </w:pPr>
          <w:r>
            <w:rPr>
              <w:rStyle w:val="4"/>
              <w:rFonts w:hint="eastAsia"/>
            </w:rPr>
            <w:t>选择一项。</w:t>
          </w:r>
        </w:p>
      </w:docPartBody>
    </w:docPart>
    <w:docPart>
      <w:docPartPr>
        <w:name w:val="6056995300C54572B449D8194C1EE706"/>
        <w:style w:val=""/>
        <w:category>
          <w:name w:val="常规"/>
          <w:gallery w:val="placeholder"/>
        </w:category>
        <w:types>
          <w:type w:val="bbPlcHdr"/>
        </w:types>
        <w:behaviors>
          <w:behavior w:val="content"/>
        </w:behaviors>
        <w:description w:val=""/>
        <w:guid w:val="{748CC81B-EDEB-4198-AAC4-476091D9EC93}"/>
      </w:docPartPr>
      <w:docPartBody>
        <w:p w14:paraId="4E16C13F">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20B"/>
    <w:rsid w:val="0025648D"/>
    <w:rsid w:val="002805AD"/>
    <w:rsid w:val="00435A6B"/>
    <w:rsid w:val="00484885"/>
    <w:rsid w:val="004C29E8"/>
    <w:rsid w:val="005E716C"/>
    <w:rsid w:val="0066220B"/>
    <w:rsid w:val="00771595"/>
    <w:rsid w:val="00B777F6"/>
    <w:rsid w:val="00C70294"/>
    <w:rsid w:val="00FB2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A44F992ACAA48FABEAD61732F26F4B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13E51B5ABB0E474EA92252A9F345E831"/>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6056995300C54572B449D8194C1EE706"/>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12</Pages>
  <Words>5925</Words>
  <Characters>6270</Characters>
  <Lines>838</Lines>
  <Paragraphs>754</Paragraphs>
  <TotalTime>0</TotalTime>
  <ScaleCrop>false</ScaleCrop>
  <LinksUpToDate>false</LinksUpToDate>
  <CharactersWithSpaces>6358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2026-05-20T05:59:00Z</dcterms:created>
  <dc:creator>47454</dc:creator>
  <dc:description>&lt;config cover="true" show_menu="true" version="1.0.0" doctype="SDKXY"&gt;_x000d_
&lt;/config&gt;</dc:description>
  <cp:lastModifiedBy>Shimmer</cp:lastModifiedBy>
  <cp:lastPrinted>2021-02-02T08:22:00Z</cp:lastPrinted>
  <dcterms:modified xsi:type="dcterms:W3CDTF">2026-06-24T08:26:23Z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2052-12.1.0.26895</vt:lpwstr>
  </property>
  <property fmtid="{D5CDD505-2E9C-101B-9397-08002B2CF9AE}" pid="16" name="ICV">
    <vt:lpwstr>86E2CC8012DA4B94B1067E06070687ED_12</vt:lpwstr>
  </property>
</Properties>
</file>