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cs="宋体"/>
          <w:sz w:val="44"/>
          <w:szCs w:val="44"/>
          <w:lang w:eastAsia="zh-CN"/>
        </w:rPr>
        <w:t>电子商务人工智能应用技术规范</w:t>
      </w:r>
      <w:r>
        <w:rPr>
          <w:rFonts w:hint="eastAsia" w:ascii="宋体" w:hAnsi="宋体" w:eastAsia="宋体" w:cs="宋体"/>
          <w:sz w:val="44"/>
          <w:szCs w:val="44"/>
        </w:rPr>
        <w:t>》</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w:t>
      </w:r>
      <w:r>
        <w:rPr>
          <w:rFonts w:hint="eastAsia" w:ascii="宋体" w:hAnsi="宋体" w:cs="宋体"/>
          <w:lang w:val="en-US" w:eastAsia="zh-CN"/>
        </w:rPr>
        <w:t>中国西部开发促进会</w:t>
      </w:r>
      <w:r>
        <w:rPr>
          <w:rFonts w:hint="eastAsia" w:ascii="宋体" w:hAnsi="宋体" w:cs="宋体"/>
          <w:highlight w:val="none"/>
          <w:lang w:val="en-US" w:eastAsia="zh-CN"/>
        </w:rPr>
        <w:t>2026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电子商务人工智能应用技术规范</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4C4D7284">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本文件起草单位：浙江同济科技职业学院、广西制造工程职业技术学院、承德市人事培训考试中心</w:t>
      </w:r>
      <w:r>
        <w:rPr>
          <w:rFonts w:hint="eastAsia" w:ascii="Times New Roman" w:hAnsi="Times New Roman" w:cs="Times New Roman"/>
          <w:b w:val="0"/>
          <w:bCs w:val="0"/>
          <w:color w:val="auto"/>
          <w:sz w:val="24"/>
          <w:szCs w:val="24"/>
          <w:lang w:eastAsia="zh-CN"/>
        </w:rPr>
        <w:t>等</w:t>
      </w:r>
      <w:r>
        <w:rPr>
          <w:rFonts w:hint="eastAsia" w:ascii="Times New Roman" w:hAnsi="Times New Roman" w:cs="Times New Roman"/>
          <w:b w:val="0"/>
          <w:bCs w:val="0"/>
          <w:color w:val="auto"/>
          <w:sz w:val="24"/>
          <w:szCs w:val="24"/>
        </w:rPr>
        <w:t>。</w:t>
      </w:r>
    </w:p>
    <w:p w14:paraId="718A9020">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本文件主要起草人：岳歆婷、李嘉、李振兴</w:t>
      </w:r>
      <w:r>
        <w:rPr>
          <w:rFonts w:hint="eastAsia" w:ascii="Times New Roman" w:hAnsi="Times New Roman" w:cs="Times New Roman"/>
          <w:b w:val="0"/>
          <w:bCs w:val="0"/>
          <w:color w:val="auto"/>
          <w:sz w:val="24"/>
          <w:szCs w:val="24"/>
          <w:lang w:eastAsia="zh-CN"/>
        </w:rPr>
        <w:t>等</w:t>
      </w:r>
      <w:r>
        <w:rPr>
          <w:rFonts w:hint="eastAsia" w:ascii="Times New Roman" w:hAnsi="Times New Roman" w:cs="Times New Roman"/>
          <w:b w:val="0"/>
          <w:bCs w:val="0"/>
          <w:color w:val="auto"/>
          <w:sz w:val="24"/>
          <w:szCs w:val="24"/>
        </w:rPr>
        <w:t>。</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spacing w:line="360" w:lineRule="auto"/>
        <w:ind w:firstLine="480" w:firstLineChars="200"/>
        <w:rPr>
          <w:rFonts w:hint="eastAsia" w:ascii="宋体" w:hAnsi="宋体" w:eastAsia="宋体" w:cs="宋体"/>
          <w:sz w:val="24"/>
          <w:szCs w:val="24"/>
        </w:rPr>
      </w:pPr>
      <w:r>
        <w:rPr>
          <w:rFonts w:hint="eastAsia"/>
          <w:sz w:val="24"/>
          <w:szCs w:val="24"/>
        </w:rPr>
        <w:t>从产业角度分析，制定《</w:t>
      </w:r>
      <w:r>
        <w:rPr>
          <w:rFonts w:hint="eastAsia"/>
          <w:sz w:val="24"/>
          <w:szCs w:val="24"/>
          <w:lang w:eastAsia="zh-CN"/>
        </w:rPr>
        <w:t>电子商务人工智能应用技术规范</w:t>
      </w:r>
      <w:r>
        <w:rPr>
          <w:rFonts w:hint="eastAsia"/>
          <w:sz w:val="24"/>
          <w:szCs w:val="24"/>
        </w:rPr>
        <w:t>》团体标准的目的和意义</w:t>
      </w:r>
      <w:r>
        <w:rPr>
          <w:rFonts w:hint="eastAsia" w:ascii="宋体" w:hAnsi="宋体" w:eastAsia="宋体" w:cs="宋体"/>
          <w:sz w:val="24"/>
          <w:szCs w:val="24"/>
        </w:rPr>
        <w:t>主要体现在以下几个方面：</w:t>
      </w:r>
    </w:p>
    <w:p w14:paraId="72CD81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1.目的</w:t>
      </w:r>
    </w:p>
    <w:p w14:paraId="040499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商务作为数字经济的重要组成部分，近年来在人工智能技术的驱动下，正经历从数字化向智能化的深刻转型。智能搜索推荐、智能客服、智能营销、视觉内容理解、智能风控、智能供应链等一系列人工智能应用已在电子商务平台中广泛落地，成为提升用户体验、优化运营效率和增强商业竞争力的核心手段。大语言模型、多模态模型等新技术的快速演进，进一步拓展了人工智能在电子商务领域的应用边界，推动行业进入智能化升级的新阶段。</w:t>
      </w:r>
    </w:p>
    <w:p w14:paraId="197581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然而，电子商务人工智能应用的快速发展也面临一系列技术和管理挑战。在技术层面，各平台和应用服务商在人工智能应用的架构设计、数据治理、模型开发部署、安全防护等方面缺乏统一的技术规范，导致系统间互操作性不足，技术能力参差不齐，部分应用在性能、稳定性和安全性方面难以满足业务要求。在数据层面，电子商务场景涉及海量用户行为数据、交易数据和商品内容数据，数据采集、标注、质量管理和生命周期管理缺乏体系化指引，影响了人工智能模型的训练效果和线上表现。在合规层面，个人信息保护、算法推荐管理、内容审核和知识产权等方面的要求日益明确，行业亟需一套系统化的技术规范来指导人工智能应用的合规建设。</w:t>
      </w:r>
    </w:p>
    <w:p w14:paraId="462FE669">
      <w:pPr>
        <w:numPr>
          <w:ilvl w:val="0"/>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意义</w:t>
      </w:r>
    </w:p>
    <w:p w14:paraId="7B3C69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前，电子商务领域人工智能应用的技术标准化工作相对滞后，行业实践中多依赖企业自身的经验积累和技术沉淀，缺乏可参照的统一规范。这种状况不利于行业整体技术水平的提升，也不利于人工智能应用的可信、可靠和可持续发展。制定电子商务人工智能应用技术规范，有助于为电子商务平台、入驻商家、技术服务商及相关第三方机构提供统一的技术指引，明确人工智能应用在架构设计、数据治理、模型开发部署、运行维护和安全合规等方面的技术要求，推动行业技术能力的规范化、体系化提升，促进人工智能在电子商务领域的健康有序应用。</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shd w:val="clear"/>
          <w:lang w:val="en-US"/>
          <w14:textFill>
            <w14:solidFill>
              <w14:schemeClr w14:val="tx1"/>
            </w14:solidFill>
          </w14:textFill>
        </w:rPr>
        <w:t>202</w:t>
      </w:r>
      <w:r>
        <w:rPr>
          <w:rFonts w:hint="eastAsia" w:ascii="宋体" w:hAnsi="宋体" w:cs="宋体"/>
          <w:color w:val="000000" w:themeColor="text1"/>
          <w:highlight w:val="none"/>
          <w:shd w:val="clear"/>
          <w:lang w:val="en-US" w:eastAsia="zh-CN"/>
          <w14:textFill>
            <w14:solidFill>
              <w14:schemeClr w14:val="tx1"/>
            </w14:solidFill>
          </w14:textFill>
        </w:rPr>
        <w:t>6</w:t>
      </w:r>
      <w:r>
        <w:rPr>
          <w:rFonts w:hint="eastAsia" w:ascii="宋体" w:hAnsi="宋体" w:eastAsia="宋体" w:cs="宋体"/>
          <w:color w:val="000000" w:themeColor="text1"/>
          <w:highlight w:val="none"/>
          <w:shd w:val="clear"/>
          <w:lang w:val="en-US"/>
          <w14:textFill>
            <w14:solidFill>
              <w14:schemeClr w14:val="tx1"/>
            </w14:solidFill>
          </w14:textFill>
        </w:rPr>
        <w:t>年</w:t>
      </w:r>
      <w:r>
        <w:rPr>
          <w:rFonts w:hint="eastAsia" w:ascii="宋体" w:hAnsi="宋体" w:cs="宋体"/>
          <w:color w:val="000000" w:themeColor="text1"/>
          <w:highlight w:val="none"/>
          <w:shd w:val="clear"/>
          <w:lang w:val="en-US" w:eastAsia="zh-CN"/>
          <w14:textFill>
            <w14:solidFill>
              <w14:schemeClr w14:val="tx1"/>
            </w14:solidFill>
          </w14:textFill>
        </w:rPr>
        <w:t>05</w:t>
      </w:r>
      <w:r>
        <w:rPr>
          <w:rFonts w:hint="eastAsia" w:ascii="宋体" w:hAnsi="宋体" w:eastAsia="宋体" w:cs="宋体"/>
          <w:color w:val="000000" w:themeColor="text1"/>
          <w:highlight w:val="none"/>
          <w:shd w:val="clear"/>
          <w:lang w:val="en-US"/>
          <w14:textFill>
            <w14:solidFill>
              <w14:schemeClr w14:val="tx1"/>
            </w14:solidFill>
          </w14:textFill>
        </w:rPr>
        <w:t>月</w:t>
      </w:r>
      <w:r>
        <w:rPr>
          <w:rFonts w:hint="eastAsia" w:ascii="宋体" w:hAnsi="宋体" w:cs="宋体"/>
          <w:color w:val="000000" w:themeColor="text1"/>
          <w:highlight w:val="none"/>
          <w:shd w:val="clear"/>
          <w:lang w:val="en-US" w:eastAsia="zh-CN"/>
          <w14:textFill>
            <w14:solidFill>
              <w14:schemeClr w14:val="tx1"/>
            </w14:solidFill>
          </w14:textFill>
        </w:rPr>
        <w:t>13日</w:t>
      </w:r>
      <w:r>
        <w:rPr>
          <w:rFonts w:hint="eastAsia" w:ascii="宋体" w:hAnsi="宋体" w:eastAsia="宋体" w:cs="宋体"/>
          <w:color w:val="000000" w:themeColor="text1"/>
          <w:highlight w:val="none"/>
          <w:shd w:val="clear"/>
          <w:lang w:val="en-US" w:eastAsia="zh-CN"/>
          <w14:textFill>
            <w14:solidFill>
              <w14:schemeClr w14:val="tx1"/>
            </w14:solidFill>
          </w14:textFill>
        </w:rPr>
        <w:t>本</w:t>
      </w:r>
      <w:r>
        <w:rPr>
          <w:rFonts w:hint="eastAsia" w:ascii="宋体" w:hAnsi="宋体" w:eastAsia="宋体" w:cs="宋体"/>
          <w:color w:val="000000" w:themeColor="text1"/>
          <w:highlight w:val="none"/>
          <w:lang w:val="en-US" w:eastAsia="zh-CN"/>
          <w14:textFill>
            <w14:solidFill>
              <w14:schemeClr w14:val="tx1"/>
            </w14:solidFill>
          </w14:textFill>
        </w:rPr>
        <w:t>团体标准由</w:t>
      </w:r>
      <w:r>
        <w:rPr>
          <w:rFonts w:hint="eastAsia" w:ascii="宋体" w:hAnsi="宋体" w:cs="宋体"/>
          <w:color w:val="000000" w:themeColor="text1"/>
          <w:highlight w:val="none"/>
          <w:lang w:val="en-US" w:eastAsia="zh-CN"/>
          <w14:textFill>
            <w14:solidFill>
              <w14:schemeClr w14:val="tx1"/>
            </w14:solidFill>
          </w14:textFill>
        </w:rPr>
        <w:t>中国西部开发促进会</w:t>
      </w:r>
      <w:r>
        <w:rPr>
          <w:rFonts w:hint="eastAsia" w:ascii="宋体" w:hAnsi="宋体" w:eastAsia="宋体" w:cs="宋体"/>
          <w:color w:val="000000" w:themeColor="text1"/>
          <w:highlight w:val="none"/>
          <w:lang w:val="en-US" w:eastAsia="zh-CN"/>
          <w14:textFill>
            <w14:solidFill>
              <w14:schemeClr w14:val="tx1"/>
            </w14:solidFill>
          </w14:textFill>
        </w:rPr>
        <w:t>正式立项，立项名称为：</w:t>
      </w:r>
      <w:r>
        <w:rPr>
          <w:rFonts w:hint="eastAsia" w:ascii="宋体" w:hAnsi="宋体" w:eastAsia="宋体" w:cs="宋体"/>
          <w:lang w:val="en-US"/>
        </w:rPr>
        <w:t>《</w:t>
      </w:r>
      <w:r>
        <w:rPr>
          <w:rFonts w:hint="eastAsia" w:ascii="宋体" w:hAnsi="宋体" w:cs="宋体"/>
          <w:lang w:val="en-US" w:eastAsia="zh-CN"/>
        </w:rPr>
        <w:t>电子商务人工智能应用技术规范</w:t>
      </w:r>
      <w:r>
        <w:rPr>
          <w:rFonts w:hint="eastAsia" w:ascii="宋体" w:hAnsi="宋体" w:eastAsia="宋体" w:cs="宋体"/>
          <w:lang w:val="en-US"/>
        </w:rPr>
        <w:t>》</w:t>
      </w:r>
      <w:r>
        <w:rPr>
          <w:rFonts w:hint="eastAsia" w:ascii="宋体" w:hAnsi="宋体" w:eastAsia="宋体" w:cs="宋体"/>
          <w:color w:val="000000" w:themeColor="text1"/>
          <w:highlight w:val="none"/>
          <w:lang w:val="en-US" w:eastAsia="zh-CN"/>
          <w14:textFill>
            <w14:solidFill>
              <w14:schemeClr w14:val="tx1"/>
            </w14:solidFill>
          </w14:textFill>
        </w:rPr>
        <w:t>。</w:t>
      </w:r>
    </w:p>
    <w:p w14:paraId="50B22881">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06</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初</w:t>
      </w:r>
      <w:r>
        <w:rPr>
          <w:rFonts w:hint="eastAsia" w:ascii="宋体" w:hAnsi="宋体" w:eastAsia="宋体" w:cs="宋体"/>
          <w:color w:val="000000" w:themeColor="text1"/>
          <w:highlight w:val="none"/>
          <w:lang w:val="en-US" w:eastAsia="zh-CN"/>
          <w14:textFill>
            <w14:solidFill>
              <w14:schemeClr w14:val="tx1"/>
            </w14:solidFill>
          </w14:textFill>
        </w:rPr>
        <w:t>完成了标准初稿及编制说明的撰写工作。</w:t>
      </w:r>
    </w:p>
    <w:p w14:paraId="24B129BE">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3.征求意见情况</w:t>
      </w:r>
    </w:p>
    <w:p w14:paraId="45B7BF22">
      <w:pPr>
        <w:pStyle w:val="7"/>
        <w:keepNext w:val="0"/>
        <w:keepLines w:val="0"/>
        <w:pageBreakBefore w:val="0"/>
        <w:widowControl/>
        <w:kinsoku/>
        <w:wordWrap/>
        <w:overflowPunct/>
        <w:topLinePunct w:val="0"/>
        <w:autoSpaceDE/>
        <w:autoSpaceDN/>
        <w:bidi w:val="0"/>
        <w:adjustRightInd w:val="0"/>
        <w:snapToGrid/>
        <w:spacing w:beforeAutospacing="0" w:afterAutospacing="0" w:line="520" w:lineRule="exact"/>
        <w:ind w:firstLine="48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06</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，标准编制小组先后通过</w:t>
      </w:r>
      <w:r>
        <w:rPr>
          <w:rFonts w:hint="eastAsia" w:ascii="宋体" w:hAnsi="宋体" w:cs="宋体"/>
          <w:color w:val="000000" w:themeColor="text1"/>
          <w:highlight w:val="none"/>
          <w:lang w:val="en-US" w:eastAsia="zh-CN"/>
          <w14:textFill>
            <w14:solidFill>
              <w14:schemeClr w14:val="tx1"/>
            </w14:solidFill>
          </w14:textFill>
        </w:rPr>
        <w:t>线上</w:t>
      </w:r>
      <w:r>
        <w:rPr>
          <w:rFonts w:hint="eastAsia" w:ascii="宋体" w:hAnsi="宋体" w:eastAsia="宋体" w:cs="宋体"/>
          <w:color w:val="000000" w:themeColor="text1"/>
          <w:highlight w:val="none"/>
          <w:lang w:val="en-US" w:eastAsia="zh-CN"/>
          <w14:textFill>
            <w14:solidFill>
              <w14:schemeClr w14:val="tx1"/>
            </w14:solidFill>
          </w14:textFill>
        </w:rPr>
        <w:t>会议、电话等多种形式征集行业专家相关意见和建议。针对征集的意见，标准编制小组召开了研讨会，将收集到的意见进行汇总处理分析，在充分吸纳合理意见的基础上，先后修改和完成标准内容，于</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06</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根据在各单位反馈意见基础上，形成了标准征求意见稿，由</w:t>
      </w:r>
      <w:r>
        <w:rPr>
          <w:rFonts w:hint="eastAsia" w:ascii="宋体" w:hAnsi="宋体" w:cs="宋体"/>
          <w:lang w:val="en-US" w:eastAsia="zh-CN"/>
        </w:rPr>
        <w:t>中国西部开发促进会</w:t>
      </w:r>
      <w:r>
        <w:rPr>
          <w:rFonts w:hint="eastAsia" w:ascii="宋体" w:hAnsi="宋体" w:eastAsia="宋体" w:cs="宋体"/>
          <w:color w:val="000000" w:themeColor="text1"/>
          <w:highlight w:val="none"/>
          <w:lang w:val="en-US" w:eastAsia="zh-CN"/>
          <w14:textFill>
            <w14:solidFill>
              <w14:schemeClr w14:val="tx1"/>
            </w14:solidFill>
          </w14:textFill>
        </w:rPr>
        <w:t>提交全国</w:t>
      </w:r>
      <w:r>
        <w:rPr>
          <w:rFonts w:hint="eastAsia" w:ascii="宋体" w:hAnsi="宋体" w:cs="宋体"/>
          <w:color w:val="000000" w:themeColor="text1"/>
          <w:highlight w:val="none"/>
          <w:lang w:val="en-US" w:eastAsia="zh-CN"/>
          <w14:textFill>
            <w14:solidFill>
              <w14:schemeClr w14:val="tx1"/>
            </w14:solidFill>
          </w14:textFill>
        </w:rPr>
        <w:t>团体</w:t>
      </w:r>
      <w:r>
        <w:rPr>
          <w:rFonts w:hint="eastAsia" w:ascii="宋体" w:hAnsi="宋体" w:eastAsia="宋体" w:cs="宋体"/>
          <w:color w:val="000000" w:themeColor="text1"/>
          <w:highlight w:val="none"/>
          <w:lang w:val="en-US" w:eastAsia="zh-CN"/>
          <w14:textFill>
            <w14:solidFill>
              <w14:schemeClr w14:val="tx1"/>
            </w14:solidFill>
          </w14:textFill>
        </w:rPr>
        <w:t>标准信息平台公示，同时由编制组向相关单位进行定向征求意见。</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w:t>
      </w:r>
      <w:r>
        <w:rPr>
          <w:rFonts w:hint="eastAsia" w:ascii="宋体" w:hAnsi="宋体" w:eastAsia="宋体" w:cs="宋体"/>
          <w:b w:val="0"/>
          <w:bCs w:val="0"/>
          <w:color w:val="auto"/>
          <w:sz w:val="24"/>
          <w:szCs w:val="24"/>
        </w:rPr>
        <w:t>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1.标准主要内容</w:t>
      </w:r>
    </w:p>
    <w:p w14:paraId="066FC14A">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1.1范围</w:t>
      </w:r>
    </w:p>
    <w:p w14:paraId="2D2DB0DC">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本文件适用于各类皮鞋生产企业的安全生产管理、监督与检查。</w:t>
      </w:r>
    </w:p>
    <w:p w14:paraId="5673A44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规范性引用文件</w:t>
      </w:r>
    </w:p>
    <w:p w14:paraId="1925118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GB/T 36344-2018  信息技术 数据质量评价指标</w:t>
      </w:r>
    </w:p>
    <w:p w14:paraId="3A2EB9D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GB/T 41867-2022   信息技术 人工智能 术语</w:t>
      </w:r>
    </w:p>
    <w:p w14:paraId="74BF07B1">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GB/T 45225-2025  人工智能 深度学习算法评估</w:t>
      </w:r>
    </w:p>
    <w:p w14:paraId="77330C3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GB/T 45654-2025  网络安全技术 生成式人工智能服务安全基本要求</w:t>
      </w:r>
    </w:p>
    <w:p w14:paraId="03B000AC">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术语和定义</w:t>
      </w:r>
    </w:p>
    <w:p w14:paraId="750B9E78">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嵌入向量  embedding vector</w:t>
      </w:r>
    </w:p>
    <w:p w14:paraId="15F94D61">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将离散对象（如词汇、商品、用户）映射为连续向量空间中的低维稠密向量表示。</w:t>
      </w:r>
    </w:p>
    <w:p w14:paraId="7897A4E7">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1.4 缩略语</w:t>
      </w:r>
      <w:r>
        <w:rPr>
          <w:rFonts w:hint="eastAsia" w:ascii="宋体" w:hAnsi="宋体" w:cs="宋体"/>
          <w:b w:val="0"/>
          <w:bCs w:val="0"/>
          <w:color w:val="auto"/>
          <w:sz w:val="24"/>
          <w:szCs w:val="24"/>
          <w:lang w:val="en-US" w:eastAsia="zh-CN"/>
        </w:rPr>
        <w:tab/>
      </w:r>
    </w:p>
    <w:p w14:paraId="2649FBD6">
      <w:pPr>
        <w:ind w:firstLine="480" w:firstLineChars="200"/>
        <w:rPr>
          <w:rFonts w:hint="eastAsia"/>
          <w:lang w:val="en-US" w:eastAsia="zh-CN"/>
        </w:rPr>
      </w:pPr>
      <w:r>
        <w:rPr>
          <w:rFonts w:hint="eastAsia" w:ascii="宋体" w:hAnsi="宋体" w:cs="宋体"/>
          <w:b w:val="0"/>
          <w:bCs w:val="0"/>
          <w:color w:val="auto"/>
          <w:sz w:val="24"/>
          <w:szCs w:val="24"/>
          <w:lang w:val="en-US" w:eastAsia="zh-CN"/>
        </w:rPr>
        <w:t>对缩略语进行规定。</w:t>
      </w:r>
    </w:p>
    <w:p w14:paraId="24138983">
      <w:pPr>
        <w:pStyle w:val="4"/>
        <w:spacing w:line="360" w:lineRule="auto"/>
        <w:ind w:firstLine="480" w:firstLineChars="200"/>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 技术要求</w:t>
      </w:r>
    </w:p>
    <w:p w14:paraId="642D1FA0">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对技术要求进行规定。</w:t>
      </w:r>
    </w:p>
    <w:p w14:paraId="5B8472F8">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1.6 数据与模型要求</w:t>
      </w:r>
      <w:r>
        <w:rPr>
          <w:rFonts w:hint="eastAsia" w:ascii="宋体" w:hAnsi="宋体" w:cs="宋体"/>
          <w:b w:val="0"/>
          <w:bCs w:val="0"/>
          <w:color w:val="auto"/>
          <w:sz w:val="24"/>
          <w:szCs w:val="24"/>
          <w:lang w:val="en-US" w:eastAsia="zh-CN"/>
        </w:rPr>
        <w:tab/>
      </w:r>
    </w:p>
    <w:p w14:paraId="6AF7EF49">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对数据与模型要求进行规定。</w:t>
      </w:r>
    </w:p>
    <w:p w14:paraId="6D813150">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1.7 应用功能要求</w:t>
      </w:r>
      <w:r>
        <w:rPr>
          <w:rFonts w:hint="eastAsia" w:ascii="宋体" w:hAnsi="宋体" w:cs="宋体"/>
          <w:b w:val="0"/>
          <w:bCs w:val="0"/>
          <w:color w:val="auto"/>
          <w:sz w:val="24"/>
          <w:szCs w:val="24"/>
          <w:lang w:val="en-US" w:eastAsia="zh-CN"/>
        </w:rPr>
        <w:tab/>
      </w:r>
    </w:p>
    <w:p w14:paraId="4D15489C">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对应用功能要求进行规定。</w:t>
      </w:r>
    </w:p>
    <w:p w14:paraId="7700D356">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1.8 危险化学品管理</w:t>
      </w:r>
      <w:r>
        <w:rPr>
          <w:rFonts w:hint="eastAsia" w:ascii="宋体" w:hAnsi="宋体" w:cs="宋体"/>
          <w:b w:val="0"/>
          <w:bCs w:val="0"/>
          <w:color w:val="auto"/>
          <w:sz w:val="24"/>
          <w:szCs w:val="24"/>
          <w:lang w:val="en-US" w:eastAsia="zh-CN"/>
        </w:rPr>
        <w:tab/>
      </w:r>
    </w:p>
    <w:p w14:paraId="659798E3">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对危险化学品管理进行规定。</w:t>
      </w:r>
    </w:p>
    <w:p w14:paraId="60EA2A54">
      <w:pPr>
        <w:pStyle w:val="4"/>
        <w:numPr>
          <w:ilvl w:val="0"/>
          <w:numId w:val="3"/>
        </w:numPr>
        <w:spacing w:line="360" w:lineRule="auto"/>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确定标准主要内容的依据</w:t>
      </w:r>
    </w:p>
    <w:p w14:paraId="2F7C93D5">
      <w:pPr>
        <w:spacing w:line="360" w:lineRule="auto"/>
        <w:ind w:firstLine="480" w:firstLineChars="200"/>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本标准主要内容的确定依据来源于电子商务领域人工智能应用的技术实践和行业共识。随着人工智能技术在电子商务行业广泛深入应用，智能搜索推荐、智能客服、智能营销、视觉内容处理、智能风控、智能供应链等典型场景已形成较为成熟的技术方案和实施路径，各场景的技术架构、数据处理方式、模型构建方法和系统集成模式在实践中积累了丰富经验。这些经过行业验证的实践共识，为本标准中应用架构与场景章节的技术要求提供了直接依据。</w:t>
      </w:r>
    </w:p>
    <w:p w14:paraId="5991850B">
      <w:pPr>
        <w:spacing w:line="360" w:lineRule="auto"/>
        <w:ind w:firstLine="480" w:firstLineChars="200"/>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在数据治理与特征工程方面，电子商务平台每日产生海量的用户行为日志、交易记录、商品信息和多媒体内容，数据规模和类型的复杂性决定了数据采集、清洗、标注、质量管理和生命周期管理须形成体系化规范。行业在数据中台、特征平台建设中形成的通用做法，包括数据血缘追踪、质量监控指标体系、特征存储与在线服务方案等，为本标准的数据治理与特征工程章节提供了技术依据。</w:t>
      </w:r>
    </w:p>
    <w:p w14:paraId="3FD9BCCB">
      <w:pPr>
        <w:spacing w:line="360" w:lineRule="auto"/>
        <w:ind w:firstLine="480" w:firstLineChars="200"/>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模型开发、部署与推理方面，各电子商务平台和技术服务商在模型训练实验管理、离线与在线评估、分级发布、推理服务性能优化、模型压缩加速及在线监控更新等环节已形成一系列工程化方法。行业内对推理延迟、服务可用性、模型效果评估指标等方面的技术共识，构成了本标准模型相关章节的编制基础。</w:t>
      </w:r>
    </w:p>
    <w:p w14:paraId="7A3BB822">
      <w:pPr>
        <w:spacing w:line="360" w:lineRule="auto"/>
        <w:ind w:firstLine="480" w:firstLineChars="200"/>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安全合规与运行维护方面，电子商务人工智能应用涉及用户个人信息处理、算法推荐服务、内容生成审核、模型安全防护等环节，行业在数据加密、访问控制、算法透明度、用户权益保护、应急响应和持续改进等方面积累了管理经验和技术措施。这些为安全合规与运行维护章节的编写提供了实践依据。</w:t>
      </w:r>
    </w:p>
    <w:p w14:paraId="0523CAD7">
      <w:pPr>
        <w:keepNext w:val="0"/>
        <w:keepLines w:val="0"/>
        <w:pageBreakBefore w:val="0"/>
        <w:widowControl w:val="0"/>
        <w:numPr>
          <w:ilvl w:val="0"/>
          <w:numId w:val="2"/>
        </w:numPr>
        <w:kinsoku/>
        <w:wordWrap/>
        <w:overflowPunct/>
        <w:topLinePunct w:val="0"/>
        <w:autoSpaceDE/>
        <w:autoSpaceDN/>
        <w:bidi w:val="0"/>
        <w:adjustRightInd w:val="0"/>
        <w:snapToGrid w:val="0"/>
        <w:spacing w:after="157" w:afterLines="50" w:line="520" w:lineRule="exact"/>
        <w:ind w:firstLine="560" w:firstLineChars="200"/>
        <w:textAlignment w:val="auto"/>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19A8B638">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所规定的技术内容，是在系统梳理电子商务领域人工智能应用的行业实践基础上，经过调研、验证和论证后确定的。标准起草过程中，编制组对国内多家大型电子商务平台及人工智能技术服务商的应用实践进行了深入调研，覆盖智能搜索推荐、智能客服、智能营销、视觉内容理解、智能风控、智能供应链等典型场景。调研结果表明，各企业在人工智能应用的分层架构设计、数据治理体系、模型开发部署流程以及安全合规管理等方面已形成一批经大规模业务验证的通用做法。</w:t>
      </w:r>
    </w:p>
    <w:p w14:paraId="4C7C732D">
      <w:pPr>
        <w:spacing w:line="360" w:lineRule="auto"/>
        <w:ind w:firstLine="480" w:firstLineChars="200"/>
        <w:rPr>
          <w:rFonts w:hint="eastAsia" w:ascii="宋体" w:hAnsi="宋体" w:eastAsia="宋体" w:cs="宋体"/>
          <w:b w:val="0"/>
          <w:bCs w:val="0"/>
          <w:color w:val="auto"/>
          <w:kern w:val="2"/>
          <w:sz w:val="24"/>
          <w:szCs w:val="24"/>
          <w:lang w:val="en-US" w:eastAsia="zh-CN" w:bidi="ar-SA"/>
        </w:rPr>
      </w:pPr>
    </w:p>
    <w:p w14:paraId="1948038F">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在数据治理与特征工程方面，编制组收集并分析了多个电子商务平台在数据采集、清洗、标注、质量监控等环节的实际运行数据。验证结果表明，建立统一的特征存储与在线服务体系能够有效保障特征数据的一致性，在线特征查询延迟控制在十毫秒以内的技术方案已在多个平台实现稳定运行。在模型开发与部署方面，编制组对分级发布、灰度验证、模型压缩加速等关键环节进行了效果比对分析，验证结果表明，采用量化、剪枝等模型压缩技术可在保持模型效果损失可控的前提下显著降低推理延迟和计算资源消耗。在推理服务性能方面，编制组对多个典型场景的在线推理服务进行了压力测试与性能评估，验证了动态批处理、水平扩展和自动扩缩容机制在应对流量波动方面的有效性。</w:t>
      </w:r>
    </w:p>
    <w:p w14:paraId="0CA1810D">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在安全合规方面，编制组分析了电子商务人工智能应用在数据安全、模型安全和服务安全方面的典型风险案例和防护措施，对内容审核机制、算法透明度要求和用户权益保护措施的实施效果进行了评估，验证结果为本标准安全合规相关条款的设定提供了实践支撑。</w:t>
      </w:r>
    </w:p>
    <w:p w14:paraId="49E0460A">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的实施，将推动电子商务人工智能应用从粗放式建设向规范化、体系化方向发展，在技术层面和经济层面均具有明显的效益。在技术层面，通过规范人工智能应用的分层架构、数据治理流程、模型开发部署方法和安全合规要求，可有效降低系统间的集成成本和异构系统对接的复杂度，提升人工智能应用的可维护性和可扩展性。统一的技术规范有助于减少重复建设和低效试错，缩短人工智能应用从开发到上线的周期，提高技术资源的利用效率。同时，标准化要求将促进模型评估指标体系和线上监控机制的完善，有助于及时发现和解决模型效果衰减、数据漂移等问题，保障人工智能应用的长期稳定运行。在经济层面，标准化将降低电子商务企业及技术服务商的人工智能应用建设和运维成本。统一的数据治理规范有助于提升数据质量和数据利用率，减少因数据问题导致的模型返工和业务损失。规范的模型部署和运行维护要求有助于降低线上故障率和应急处理成本。安全合规要求的明确化，有助于企业有序开展合规建设，降低因违规导致的法律风险和业务中断风险。总体而言，本标准的实施将促进行业内人工智能应用技术能力的整体提升，推动产业链上下游的高效协同，支撑电子商务行业智能化升级的可持续发展。</w:t>
      </w:r>
    </w:p>
    <w:p w14:paraId="74D4F2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将为电子商务平台、入驻商家和技术服务商提供统一的人工智能应用技术指引，有助于降低行业整体的技术门槛和接入成本，促进中小商家和新兴平台在人工智能应用方面的普及和深化，进一步释放人工智能技术在电子商务领域的应用潜力，带动相关技术服务市场的增长。</w:t>
      </w:r>
    </w:p>
    <w:p w14:paraId="282DA89F">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通过规范数据治理和特征工程，提升数据质量和特征复用效率，预期可降低人工智能模型训练和推理的计算资源消耗，减少因数据质量问题导致的无效迭代和模型效果衰减带来的业务损失，从而降低企业的技术运营成本。通过规范模型开发、部署和推理服务，提升人工智能应用的性能和可靠性，有助于改善用户搜索、推荐、客服等核心交互体验，提升用户满意度和转化率，为电子商务企业创造直接的经济收益。同时，智能风控和智能供应链等应用的规范化运行，可有效减少欺诈损失、优化库存管理和物流效率，降低企业运营成本和风险敞口。安全合规要求的明确化，将有助于电子商务企业有序开展个人信息保护、算法推荐管理和内容审核等合规建设，降低合规风险和法律成本，提升用户信任度和平台品牌价值，为行业长期健康发展奠定基础。</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电子商务人工智能应用技术规范</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06</w:t>
      </w:r>
      <w:bookmarkStart w:id="0" w:name="_GoBack"/>
      <w:bookmarkEnd w:id="0"/>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B3C4939"/>
    <w:multiLevelType w:val="singleLevel"/>
    <w:tmpl w:val="5B3C4939"/>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9D021AA"/>
    <w:rsid w:val="09E013D8"/>
    <w:rsid w:val="0D1150F2"/>
    <w:rsid w:val="0E125B51"/>
    <w:rsid w:val="0EF73150"/>
    <w:rsid w:val="10060813"/>
    <w:rsid w:val="10881F42"/>
    <w:rsid w:val="11E24C48"/>
    <w:rsid w:val="15E52C78"/>
    <w:rsid w:val="1732672E"/>
    <w:rsid w:val="178A75E4"/>
    <w:rsid w:val="1A554829"/>
    <w:rsid w:val="1C6642AB"/>
    <w:rsid w:val="1E237678"/>
    <w:rsid w:val="1E6E623A"/>
    <w:rsid w:val="202076CF"/>
    <w:rsid w:val="20B55245"/>
    <w:rsid w:val="2194727B"/>
    <w:rsid w:val="223573AF"/>
    <w:rsid w:val="22A266A4"/>
    <w:rsid w:val="23453A48"/>
    <w:rsid w:val="243E45C7"/>
    <w:rsid w:val="25CE54D7"/>
    <w:rsid w:val="27133B25"/>
    <w:rsid w:val="27E957C6"/>
    <w:rsid w:val="28655A50"/>
    <w:rsid w:val="293111D0"/>
    <w:rsid w:val="2CC02DC4"/>
    <w:rsid w:val="2D203755"/>
    <w:rsid w:val="2D6B683A"/>
    <w:rsid w:val="320A7220"/>
    <w:rsid w:val="330927AE"/>
    <w:rsid w:val="358362DE"/>
    <w:rsid w:val="36916617"/>
    <w:rsid w:val="37AD13F0"/>
    <w:rsid w:val="39CE4183"/>
    <w:rsid w:val="3AA80595"/>
    <w:rsid w:val="3B8D6699"/>
    <w:rsid w:val="3CC33464"/>
    <w:rsid w:val="3D775C04"/>
    <w:rsid w:val="3DFD4754"/>
    <w:rsid w:val="3EB47508"/>
    <w:rsid w:val="3EB827C1"/>
    <w:rsid w:val="3F8F0DE9"/>
    <w:rsid w:val="45837C34"/>
    <w:rsid w:val="45A858ED"/>
    <w:rsid w:val="491238A7"/>
    <w:rsid w:val="4B5072BB"/>
    <w:rsid w:val="4B5510D9"/>
    <w:rsid w:val="52A075B6"/>
    <w:rsid w:val="55DF1A6C"/>
    <w:rsid w:val="563665FD"/>
    <w:rsid w:val="58DB5338"/>
    <w:rsid w:val="59344C26"/>
    <w:rsid w:val="5A3B68D8"/>
    <w:rsid w:val="5BA962C1"/>
    <w:rsid w:val="5BC80BA0"/>
    <w:rsid w:val="5C523208"/>
    <w:rsid w:val="5F8F42AD"/>
    <w:rsid w:val="5FB93C59"/>
    <w:rsid w:val="610E43FE"/>
    <w:rsid w:val="61A905CB"/>
    <w:rsid w:val="61EB2350"/>
    <w:rsid w:val="621517BC"/>
    <w:rsid w:val="6299419B"/>
    <w:rsid w:val="63F51786"/>
    <w:rsid w:val="66AD645E"/>
    <w:rsid w:val="67332E10"/>
    <w:rsid w:val="699403C8"/>
    <w:rsid w:val="6B3B6A1E"/>
    <w:rsid w:val="6BB84480"/>
    <w:rsid w:val="70B155EE"/>
    <w:rsid w:val="72353F56"/>
    <w:rsid w:val="768B2463"/>
    <w:rsid w:val="77C33D3D"/>
    <w:rsid w:val="787816EA"/>
    <w:rsid w:val="7AC202DC"/>
    <w:rsid w:val="7B05054F"/>
    <w:rsid w:val="7BC46246"/>
    <w:rsid w:val="7C55517F"/>
    <w:rsid w:val="7D1F6674"/>
    <w:rsid w:val="7DE1506E"/>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4320</Words>
  <Characters>4448</Characters>
  <Lines>22</Lines>
  <Paragraphs>6</Paragraphs>
  <TotalTime>2</TotalTime>
  <ScaleCrop>false</ScaleCrop>
  <LinksUpToDate>false</LinksUpToDate>
  <CharactersWithSpaces>4483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Shimmer</cp:lastModifiedBy>
  <cp:lastPrinted>2024-05-17T07:43:00Z</cp:lastPrinted>
  <dcterms:modified xsi:type="dcterms:W3CDTF">2026-06-24T07:25:11Z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1A40E6A5CB35412581B077ABBF0E55AB_13</vt:lpwstr>
  </property>
  <property fmtid="{D5CDD505-2E9C-101B-9397-08002B2CF9AE}" pid="4" name="KSOTemplateDocerSaveRecord">
    <vt:lpwstr>eyJoZGlkIjoiYmMyN2Y1NjU1MGJkOTJlMGU2NjMwODJlNzlmZmZjZDkiLCJ1c2VySWQiOiIxNjEyNTI2NzM3In0=</vt:lpwstr>
  </property>
</Properties>
</file>