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34361">
      <w:pPr>
        <w:framePr w:w="904" w:h="1540" w:hRule="exact" w:wrap="around" w:vAnchor="page" w:hAnchor="page" w:x="8621" w:y="194"/>
        <w:widowControl/>
        <w:shd w:val="solid" w:color="FFFFFF" w:fill="FFFFFF"/>
        <w:spacing w:line="0" w:lineRule="atLeast"/>
        <w:rPr>
          <w:rFonts w:hint="eastAsia" w:ascii="等线" w:hAnsi="等线" w:eastAsia="等线" w:cs="等线"/>
          <w:b/>
          <w:w w:val="130"/>
          <w:kern w:val="0"/>
          <w:sz w:val="100"/>
          <w:szCs w:val="100"/>
        </w:rPr>
      </w:pPr>
      <w:r>
        <w:rPr>
          <w:rFonts w:hint="eastAsia" w:ascii="等线" w:hAnsi="等线" w:eastAsia="等线" w:cs="等线"/>
          <w:b/>
          <w:w w:val="130"/>
          <w:kern w:val="0"/>
          <w:sz w:val="110"/>
          <w:szCs w:val="110"/>
        </w:rPr>
        <w:t>T</w:t>
      </w:r>
    </w:p>
    <w:p w14:paraId="1EBA4B5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szCs w:val="22"/>
          <w:lang w:eastAsia="zh-CN"/>
        </w:rPr>
      </w:pPr>
    </w:p>
    <w:p w14:paraId="5BF4A1A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黑体" w:hAnsi="黑体" w:eastAsia="黑体" w:cs="黑体"/>
          <w:color w:val="FF0000"/>
          <w:szCs w:val="22"/>
          <w:lang w:val="en-US" w:eastAsia="zh-CN"/>
        </w:rPr>
      </w:pPr>
      <w:r>
        <w:rPr>
          <w:rFonts w:hint="eastAsia" w:ascii="黑体" w:hAnsi="黑体" w:eastAsia="黑体" w:cs="黑体"/>
          <w:szCs w:val="22"/>
        </w:rPr>
        <w:t xml:space="preserve">ICS </w:t>
      </w:r>
      <w:r>
        <w:rPr>
          <w:rFonts w:hint="eastAsia" w:ascii="黑体" w:hAnsi="黑体" w:eastAsia="黑体" w:cs="黑体"/>
          <w:szCs w:val="22"/>
          <w:lang w:val="en-US" w:eastAsia="zh-CN"/>
        </w:rPr>
        <w:t xml:space="preserve"> 13.340.99</w:t>
      </w:r>
      <w:r>
        <w:rPr>
          <w:rFonts w:hint="eastAsia" w:ascii="黑体" w:hAnsi="黑体" w:eastAsia="黑体" w:cs="黑体"/>
          <w:color w:val="FF0000"/>
          <w:szCs w:val="22"/>
        </w:rPr>
        <w:t xml:space="preserve">   </w:t>
      </w:r>
      <w:r>
        <w:rPr>
          <w:rFonts w:hint="eastAsia" w:ascii="黑体" w:hAnsi="黑体" w:eastAsia="黑体" w:cs="黑体"/>
          <w:color w:val="FF0000"/>
          <w:szCs w:val="22"/>
          <w:lang w:val="en-US" w:eastAsia="zh-CN"/>
        </w:rPr>
        <w:t xml:space="preserve">    </w:t>
      </w:r>
    </w:p>
    <w:p w14:paraId="02484EC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cs="黑体"/>
          <w:szCs w:val="22"/>
          <w:lang w:val="en-US" w:eastAsia="zh-CN"/>
        </w:rPr>
      </w:pPr>
      <w:r>
        <w:rPr>
          <w:rFonts w:hint="eastAsia" w:ascii="黑体" w:hAnsi="黑体" w:eastAsia="黑体" w:cs="黑体"/>
          <w:szCs w:val="22"/>
        </w:rPr>
        <w:t xml:space="preserve">CCS  </w:t>
      </w:r>
      <w:r>
        <w:rPr>
          <w:rFonts w:hint="eastAsia" w:ascii="黑体" w:hAnsi="黑体" w:eastAsia="黑体" w:cs="黑体"/>
          <w:szCs w:val="22"/>
          <w:lang w:val="en-US" w:eastAsia="zh-CN"/>
        </w:rPr>
        <w:t>C 73</w:t>
      </w:r>
    </w:p>
    <w:p w14:paraId="1373853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cs="黑体"/>
          <w:szCs w:val="22"/>
          <w:lang w:val="en-US" w:eastAsia="zh-CN"/>
        </w:rPr>
      </w:pPr>
    </w:p>
    <w:p w14:paraId="2ADCE863">
      <w:pPr>
        <w:spacing w:beforeAutospacing="0" w:line="360" w:lineRule="auto"/>
        <w:jc w:val="distribute"/>
        <w:rPr>
          <w:rFonts w:hint="eastAsia" w:ascii="隶属" w:hAnsi="隶属" w:eastAsia="隶属" w:cs="隶属"/>
          <w:b/>
          <w:bCs/>
          <w:sz w:val="84"/>
          <w:szCs w:val="84"/>
        </w:rPr>
      </w:pPr>
      <w:r>
        <w:rPr>
          <w:rFonts w:hint="eastAsia" w:ascii="黑体" w:hAnsi="黑体" w:eastAsia="黑体" w:cs="黑体"/>
          <w:b/>
          <w:bCs/>
          <w:sz w:val="84"/>
          <w:szCs w:val="84"/>
        </w:rPr>
        <w:t>团体标准</w:t>
      </w:r>
    </w:p>
    <w:p w14:paraId="344E3D92">
      <w:pPr>
        <w:wordWrap w:val="0"/>
        <w:spacing w:line="360" w:lineRule="auto"/>
        <w:ind w:right="0" w:rightChars="0"/>
        <w:jc w:val="right"/>
        <w:rPr>
          <w:rFonts w:hint="eastAsia" w:ascii="Times New Roman" w:hAnsi="Times New Roman" w:eastAsia="黑体" w:cs="Times New Roman"/>
          <w:szCs w:val="22"/>
          <w:lang w:val="en-US" w:eastAsia="zh-CN"/>
        </w:rPr>
      </w:pPr>
      <w:r>
        <w:rPr>
          <w:rFonts w:ascii="Times New Roman" w:hAnsi="Times New Roman" w:eastAsia="宋体" w:cs="Times New Roman"/>
          <w:color w:val="FF0000"/>
          <w:szCs w:val="22"/>
        </w:rPr>
        <w:t xml:space="preserve"> </w:t>
      </w:r>
      <w:r>
        <w:rPr>
          <w:rFonts w:ascii="Times New Roman" w:hAnsi="Times New Roman" w:eastAsia="宋体" w:cs="Times New Roman"/>
          <w:szCs w:val="22"/>
        </w:rPr>
        <w:t xml:space="preserve">  </w:t>
      </w:r>
      <w:r>
        <w:rPr>
          <w:rFonts w:hint="eastAsia" w:ascii="Times New Roman" w:hAnsi="Times New Roman" w:cs="Times New Roman"/>
          <w:szCs w:val="22"/>
          <w:lang w:val="en-US" w:eastAsia="zh-CN"/>
        </w:rPr>
        <w:t xml:space="preserve"> </w:t>
      </w:r>
      <w:r>
        <w:rPr>
          <w:rFonts w:hint="eastAsia" w:ascii="黑体" w:hAnsi="黑体" w:eastAsia="黑体" w:cs="黑体"/>
          <w:sz w:val="28"/>
          <w:szCs w:val="28"/>
        </w:rPr>
        <w:t xml:space="preserve"> T/</w:t>
      </w:r>
      <w:r>
        <w:rPr>
          <w:rFonts w:hint="eastAsia" w:ascii="黑体" w:hAnsi="黑体" w:eastAsia="黑体" w:cs="黑体"/>
          <w:sz w:val="28"/>
          <w:szCs w:val="28"/>
          <w:lang w:val="en-US" w:eastAsia="zh-CN"/>
        </w:rPr>
        <w:t>CWDPA</w:t>
      </w:r>
      <w:r>
        <w:rPr>
          <w:rFonts w:hint="eastAsia" w:ascii="黑体" w:hAnsi="黑体" w:eastAsia="黑体" w:cs="黑体"/>
          <w:sz w:val="28"/>
          <w:szCs w:val="28"/>
        </w:rPr>
        <w:t xml:space="preserve"> </w:t>
      </w:r>
      <w:r>
        <w:rPr>
          <w:rFonts w:hint="eastAsia" w:ascii="黑体" w:hAnsi="黑体" w:eastAsia="黑体" w:cs="黑体"/>
          <w:sz w:val="28"/>
          <w:szCs w:val="28"/>
          <w:lang w:val="en-US" w:eastAsia="zh-CN"/>
        </w:rPr>
        <w:t>XXX</w:t>
      </w:r>
      <w:r>
        <w:rPr>
          <w:rFonts w:hint="eastAsia" w:ascii="黑体" w:hAnsi="黑体" w:eastAsia="黑体" w:cs="黑体"/>
          <w:sz w:val="28"/>
          <w:szCs w:val="28"/>
        </w:rPr>
        <w:t>—202</w:t>
      </w:r>
      <w:r>
        <w:rPr>
          <w:rFonts w:hint="eastAsia" w:ascii="黑体" w:hAnsi="黑体" w:eastAsia="黑体" w:cs="黑体"/>
          <w:sz w:val="28"/>
          <w:szCs w:val="28"/>
          <w:lang w:val="en-US" w:eastAsia="zh-CN"/>
        </w:rPr>
        <w:t>6</w:t>
      </w:r>
    </w:p>
    <w:p w14:paraId="582FB557">
      <w:pPr>
        <w:spacing w:line="360" w:lineRule="auto"/>
        <w:jc w:val="left"/>
        <w:rPr>
          <w:rFonts w:ascii="Times New Roman" w:hAnsi="Times New Roman" w:eastAsia="宋体" w:cs="Times New Roman"/>
          <w:szCs w:val="22"/>
        </w:rPr>
      </w:pPr>
      <w:r>
        <w:rPr>
          <w:rFonts w:ascii="Times New Roman" w:hAnsi="Times New Roman" w:eastAsia="宋体" w:cs="Times New Roman"/>
          <w:szCs w:val="22"/>
        </w:rPr>
        <w:drawing>
          <wp:inline distT="0" distB="0" distL="114300" distR="114300">
            <wp:extent cx="5525770" cy="1079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525770" cy="10795"/>
                    </a:xfrm>
                    <a:prstGeom prst="rect">
                      <a:avLst/>
                    </a:prstGeom>
                    <a:noFill/>
                    <a:ln>
                      <a:noFill/>
                    </a:ln>
                  </pic:spPr>
                </pic:pic>
              </a:graphicData>
            </a:graphic>
          </wp:inline>
        </w:drawing>
      </w:r>
    </w:p>
    <w:p w14:paraId="25AC21B8">
      <w:pPr>
        <w:spacing w:line="360" w:lineRule="auto"/>
        <w:rPr>
          <w:rFonts w:ascii="Times New Roman" w:hAnsi="Times New Roman" w:eastAsia="宋体" w:cs="Times New Roman"/>
          <w:szCs w:val="22"/>
        </w:rPr>
      </w:pPr>
    </w:p>
    <w:p w14:paraId="2E3D06D4">
      <w:pPr>
        <w:spacing w:line="360" w:lineRule="auto"/>
        <w:rPr>
          <w:rFonts w:ascii="Times New Roman" w:hAnsi="Times New Roman" w:eastAsia="宋体" w:cs="Times New Roman"/>
          <w:szCs w:val="22"/>
        </w:rPr>
      </w:pPr>
    </w:p>
    <w:p w14:paraId="118AED41">
      <w:pPr>
        <w:spacing w:line="360" w:lineRule="auto"/>
        <w:jc w:val="center"/>
        <w:rPr>
          <w:rFonts w:ascii="Times New Roman" w:hAnsi="Times New Roman" w:eastAsia="黑体" w:cs="Times New Roman"/>
          <w:sz w:val="52"/>
          <w:szCs w:val="52"/>
        </w:rPr>
      </w:pPr>
    </w:p>
    <w:p w14:paraId="6D94EED4">
      <w:pPr>
        <w:spacing w:line="360" w:lineRule="auto"/>
        <w:jc w:val="center"/>
        <w:rPr>
          <w:rFonts w:ascii="Times New Roman" w:hAnsi="Times New Roman" w:eastAsia="黑体" w:cs="Times New Roman"/>
          <w:sz w:val="52"/>
          <w:szCs w:val="52"/>
        </w:rPr>
      </w:pPr>
    </w:p>
    <w:p w14:paraId="3A02617A">
      <w:pPr>
        <w:spacing w:line="360" w:lineRule="auto"/>
        <w:jc w:val="center"/>
        <w:rPr>
          <w:rFonts w:ascii="Times New Roman" w:hAnsi="Times New Roman" w:eastAsia="黑体" w:cs="Times New Roman"/>
          <w:szCs w:val="21"/>
        </w:rPr>
      </w:pPr>
      <w:r>
        <w:rPr>
          <w:rFonts w:hint="eastAsia" w:ascii="Times New Roman" w:hAnsi="Times New Roman" w:eastAsia="黑体" w:cs="Times New Roman"/>
          <w:sz w:val="52"/>
          <w:szCs w:val="52"/>
          <w:lang w:val="en-US" w:eastAsia="zh-CN"/>
        </w:rPr>
        <w:t>电力防护墩</w:t>
      </w:r>
    </w:p>
    <w:p w14:paraId="5ECA8331">
      <w:pPr>
        <w:spacing w:line="360" w:lineRule="auto"/>
        <w:jc w:val="center"/>
        <w:rPr>
          <w:rFonts w:ascii="Times New Roman" w:hAnsi="Times New Roman" w:eastAsia="宋体" w:cs="Times New Roman"/>
          <w:szCs w:val="22"/>
        </w:rPr>
      </w:pPr>
      <w:r>
        <w:rPr>
          <w:rFonts w:hint="eastAsia" w:ascii="Times New Roman" w:hAnsi="Times New Roman" w:eastAsia="黑体" w:cs="Times New Roman"/>
          <w:sz w:val="28"/>
          <w:szCs w:val="28"/>
          <w:lang w:val="en-US" w:eastAsia="zh-CN"/>
        </w:rPr>
        <w:t>Electric power protection pier</w:t>
      </w:r>
    </w:p>
    <w:p w14:paraId="1D00235A">
      <w:pPr>
        <w:spacing w:line="360" w:lineRule="auto"/>
        <w:jc w:val="both"/>
        <w:rPr>
          <w:rFonts w:ascii="Times New Roman" w:hAnsi="Times New Roman" w:eastAsia="宋体" w:cs="Times New Roman"/>
          <w:szCs w:val="22"/>
        </w:rPr>
      </w:pPr>
    </w:p>
    <w:p w14:paraId="2EC7DA65">
      <w:pPr>
        <w:spacing w:line="360" w:lineRule="auto"/>
        <w:rPr>
          <w:rFonts w:ascii="Times New Roman" w:hAnsi="Times New Roman" w:eastAsia="宋体" w:cs="Times New Roman"/>
          <w:szCs w:val="22"/>
        </w:rPr>
      </w:pPr>
    </w:p>
    <w:p w14:paraId="4B93F211">
      <w:pPr>
        <w:spacing w:line="360" w:lineRule="auto"/>
        <w:rPr>
          <w:rFonts w:ascii="Times New Roman" w:hAnsi="Times New Roman" w:eastAsia="宋体" w:cs="Times New Roman"/>
          <w:szCs w:val="22"/>
        </w:rPr>
      </w:pPr>
    </w:p>
    <w:p w14:paraId="21EB70ED">
      <w:pPr>
        <w:spacing w:line="360" w:lineRule="auto"/>
        <w:rPr>
          <w:rFonts w:ascii="Times New Roman" w:hAnsi="Times New Roman" w:eastAsia="宋体" w:cs="Times New Roman"/>
          <w:szCs w:val="22"/>
        </w:rPr>
      </w:pPr>
    </w:p>
    <w:p w14:paraId="6B55877D">
      <w:pPr>
        <w:spacing w:line="360" w:lineRule="auto"/>
        <w:rPr>
          <w:rFonts w:ascii="Times New Roman" w:hAnsi="Times New Roman" w:eastAsia="宋体" w:cs="Times New Roman"/>
          <w:szCs w:val="22"/>
        </w:rPr>
      </w:pPr>
    </w:p>
    <w:p w14:paraId="659402C9">
      <w:pPr>
        <w:spacing w:line="360" w:lineRule="auto"/>
        <w:jc w:val="left"/>
        <w:rPr>
          <w:rFonts w:ascii="Times New Roman" w:hAnsi="Times New Roman" w:eastAsia="黑体" w:cs="Times New Roman"/>
          <w:sz w:val="28"/>
          <w:szCs w:val="28"/>
        </w:rPr>
      </w:pPr>
    </w:p>
    <w:p w14:paraId="3C3CAA2E">
      <w:pPr>
        <w:spacing w:line="360" w:lineRule="auto"/>
        <w:jc w:val="left"/>
        <w:rPr>
          <w:rFonts w:ascii="Times New Roman" w:hAnsi="Times New Roman" w:eastAsia="黑体" w:cs="Times New Roman"/>
          <w:sz w:val="28"/>
          <w:szCs w:val="28"/>
        </w:rPr>
      </w:pPr>
    </w:p>
    <w:p w14:paraId="42E4069C">
      <w:pPr>
        <w:spacing w:line="360" w:lineRule="auto"/>
        <w:jc w:val="left"/>
        <w:rPr>
          <w:rFonts w:ascii="Times New Roman" w:hAnsi="Times New Roman" w:eastAsia="黑体" w:cs="Times New Roman"/>
          <w:sz w:val="28"/>
          <w:szCs w:val="28"/>
        </w:rPr>
      </w:pPr>
    </w:p>
    <w:p w14:paraId="669FB6DE">
      <w:pPr>
        <w:spacing w:line="360" w:lineRule="auto"/>
        <w:jc w:val="left"/>
        <w:rPr>
          <w:rFonts w:ascii="Times New Roman" w:hAnsi="Times New Roman" w:eastAsia="黑体" w:cs="Times New Roman"/>
          <w:sz w:val="28"/>
          <w:szCs w:val="28"/>
        </w:rPr>
      </w:pPr>
    </w:p>
    <w:p w14:paraId="00F547A5">
      <w:pPr>
        <w:spacing w:line="360" w:lineRule="auto"/>
        <w:jc w:val="left"/>
        <w:rPr>
          <w:rFonts w:ascii="Times New Roman" w:hAnsi="Times New Roman" w:eastAsia="黑体" w:cs="Times New Roman"/>
          <w:sz w:val="28"/>
          <w:szCs w:val="28"/>
        </w:rPr>
      </w:pPr>
    </w:p>
    <w:p w14:paraId="31D4674C">
      <w:pPr>
        <w:spacing w:line="360" w:lineRule="auto"/>
        <w:jc w:val="left"/>
        <w:rPr>
          <w:rFonts w:ascii="Times New Roman" w:hAnsi="Times New Roman" w:eastAsia="黑体" w:cs="Times New Roman"/>
          <w:sz w:val="28"/>
          <w:szCs w:val="28"/>
        </w:rPr>
      </w:pPr>
    </w:p>
    <w:p w14:paraId="6533516B">
      <w:pPr>
        <w:spacing w:line="360" w:lineRule="auto"/>
        <w:jc w:val="left"/>
        <w:rPr>
          <w:rFonts w:hint="eastAsia" w:ascii="黑体" w:hAnsi="黑体" w:eastAsia="黑体" w:cs="黑体"/>
          <w:sz w:val="52"/>
          <w:szCs w:val="52"/>
        </w:rPr>
      </w:pPr>
      <w:r>
        <w:rPr>
          <w:rFonts w:hint="eastAsia" w:ascii="黑体" w:hAnsi="黑体" w:eastAsia="黑体" w:cs="黑体"/>
          <w:sz w:val="28"/>
          <w:szCs w:val="28"/>
        </w:rPr>
        <w:t>202</w:t>
      </w:r>
      <w:r>
        <w:rPr>
          <w:rFonts w:hint="eastAsia" w:ascii="黑体" w:hAnsi="黑体" w:eastAsia="黑体" w:cs="黑体"/>
          <w:sz w:val="28"/>
          <w:szCs w:val="28"/>
          <w:lang w:val="en-US" w:eastAsia="zh-CN"/>
        </w:rPr>
        <w:t>6</w:t>
      </w:r>
      <w:r>
        <w:rPr>
          <w:rFonts w:hint="eastAsia" w:ascii="黑体" w:hAnsi="黑体" w:eastAsia="黑体" w:cs="黑体"/>
          <w:sz w:val="28"/>
          <w:szCs w:val="28"/>
        </w:rPr>
        <w:t>-</w:t>
      </w:r>
      <w:r>
        <w:rPr>
          <w:rFonts w:hint="eastAsia" w:ascii="黑体" w:hAnsi="黑体" w:eastAsia="黑体" w:cs="黑体"/>
          <w:sz w:val="28"/>
          <w:szCs w:val="28"/>
          <w:lang w:val="en-US" w:eastAsia="zh-CN"/>
        </w:rPr>
        <w:t>X</w:t>
      </w:r>
      <w:r>
        <w:rPr>
          <w:rFonts w:hint="eastAsia" w:ascii="黑体" w:hAnsi="黑体" w:eastAsia="黑体" w:cs="黑体"/>
          <w:sz w:val="28"/>
          <w:szCs w:val="28"/>
        </w:rPr>
        <w:t>-</w:t>
      </w:r>
      <w:r>
        <w:rPr>
          <w:rFonts w:hint="eastAsia" w:ascii="黑体" w:hAnsi="黑体" w:eastAsia="黑体" w:cs="黑体"/>
          <w:sz w:val="28"/>
          <w:szCs w:val="28"/>
          <w:lang w:val="en-US" w:eastAsia="zh-CN"/>
        </w:rPr>
        <w:t>XX</w:t>
      </w:r>
      <w:r>
        <w:rPr>
          <w:rFonts w:hint="eastAsia" w:ascii="黑体" w:hAnsi="黑体" w:eastAsia="黑体" w:cs="黑体"/>
          <w:sz w:val="28"/>
          <w:szCs w:val="28"/>
        </w:rPr>
        <w:t xml:space="preserve">发布                                </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202</w:t>
      </w:r>
      <w:r>
        <w:rPr>
          <w:rFonts w:hint="eastAsia" w:ascii="黑体" w:hAnsi="黑体" w:eastAsia="黑体" w:cs="黑体"/>
          <w:sz w:val="28"/>
          <w:szCs w:val="28"/>
          <w:lang w:val="en-US" w:eastAsia="zh-CN"/>
        </w:rPr>
        <w:t>6</w:t>
      </w:r>
      <w:r>
        <w:rPr>
          <w:rFonts w:hint="eastAsia" w:ascii="黑体" w:hAnsi="黑体" w:eastAsia="黑体" w:cs="黑体"/>
          <w:sz w:val="28"/>
          <w:szCs w:val="28"/>
        </w:rPr>
        <w:t>-</w:t>
      </w:r>
      <w:r>
        <w:rPr>
          <w:rFonts w:hint="eastAsia" w:ascii="黑体" w:hAnsi="黑体" w:eastAsia="黑体" w:cs="黑体"/>
          <w:sz w:val="28"/>
          <w:szCs w:val="28"/>
          <w:lang w:val="en-US" w:eastAsia="zh-CN"/>
        </w:rPr>
        <w:t>X</w:t>
      </w:r>
      <w:r>
        <w:rPr>
          <w:rFonts w:hint="eastAsia" w:ascii="黑体" w:hAnsi="黑体" w:eastAsia="黑体" w:cs="黑体"/>
          <w:sz w:val="28"/>
          <w:szCs w:val="28"/>
        </w:rPr>
        <w:t>-</w:t>
      </w:r>
      <w:r>
        <w:rPr>
          <w:rFonts w:hint="eastAsia" w:ascii="黑体" w:hAnsi="黑体" w:eastAsia="黑体" w:cs="黑体"/>
          <w:sz w:val="28"/>
          <w:szCs w:val="28"/>
          <w:lang w:val="en-US" w:eastAsia="zh-CN"/>
        </w:rPr>
        <w:t>XX</w:t>
      </w:r>
      <w:r>
        <w:rPr>
          <w:rFonts w:hint="eastAsia" w:ascii="黑体" w:hAnsi="黑体" w:eastAsia="黑体" w:cs="黑体"/>
          <w:sz w:val="28"/>
          <w:szCs w:val="28"/>
        </w:rPr>
        <w:t>实施</w:t>
      </w:r>
    </w:p>
    <w:p w14:paraId="067624B1">
      <w:pPr>
        <w:spacing w:line="360" w:lineRule="auto"/>
        <w:jc w:val="center"/>
        <w:rPr>
          <w:rFonts w:hint="eastAsia" w:ascii="黑体" w:hAnsi="黑体" w:eastAsia="黑体" w:cs="黑体"/>
          <w:szCs w:val="22"/>
        </w:rPr>
        <w:sectPr>
          <w:footerReference r:id="rId8" w:type="first"/>
          <w:footerReference r:id="rId6" w:type="default"/>
          <w:headerReference r:id="rId5" w:type="even"/>
          <w:footerReference r:id="rId7" w:type="even"/>
          <w:type w:val="continuous"/>
          <w:pgSz w:w="11906" w:h="16838"/>
          <w:pgMar w:top="590" w:right="1800" w:bottom="1157" w:left="1463" w:header="851" w:footer="992" w:gutter="0"/>
          <w:pgBorders>
            <w:top w:val="none" w:sz="0" w:space="0"/>
            <w:left w:val="none" w:sz="0" w:space="0"/>
            <w:bottom w:val="none" w:sz="0" w:space="0"/>
            <w:right w:val="none" w:sz="0" w:space="0"/>
          </w:pgBorders>
          <w:pgNumType w:fmt="upperRoman" w:start="2" w:chapStyle="1"/>
          <w:cols w:space="425" w:num="1"/>
          <w:titlePg/>
          <w:docGrid w:type="lines" w:linePitch="312" w:charSpace="0"/>
        </w:sectPr>
      </w:pPr>
      <w:r>
        <w:rPr>
          <w:rFonts w:hint="eastAsia" w:ascii="隶属" w:hAnsi="隶属" w:eastAsia="隶属" w:cs="隶属"/>
          <w:b/>
          <w:bCs/>
          <w:szCs w:val="22"/>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1270</wp:posOffset>
                </wp:positionV>
                <wp:extent cx="5504815" cy="20955"/>
                <wp:effectExtent l="0" t="4445" r="635" b="12700"/>
                <wp:wrapNone/>
                <wp:docPr id="3" name="直接箭头连接符 3"/>
                <wp:cNvGraphicFramePr/>
                <a:graphic xmlns:a="http://schemas.openxmlformats.org/drawingml/2006/main">
                  <a:graphicData uri="http://schemas.microsoft.com/office/word/2010/wordprocessingShape">
                    <wps:wsp>
                      <wps:cNvCnPr/>
                      <wps:spPr>
                        <a:xfrm flipV="1">
                          <a:off x="0" y="0"/>
                          <a:ext cx="5504815" cy="2095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5pt;margin-top:0.1pt;height:1.65pt;width:433.45pt;z-index:251660288;mso-width-relative:page;mso-height-relative:page;" filled="f" stroked="t" coordsize="21600,21600" o:gfxdata="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R7boDVAAAABQEAAA8AAAAAAAAAAQAgAAAAIgAA&#10;AGRycy9kb3ducmV2LnhtbFBLAQIUABQAAAAIAIdO4kBwqksACwIAAAQEAAAOAAAAAAAAAAEAIAAA&#10;ACQBAABkcnMvZTJvRG9jLnhtbFBLBQYAAAAABgAGAFkBAAChBQAAAAA=&#10;">
                <v:fill on="f" focussize="0,0"/>
                <v:stroke color="#000000" joinstyle="round"/>
                <v:imagedata o:title=""/>
                <o:lock v:ext="edit" aspectratio="f"/>
              </v:shape>
            </w:pict>
          </mc:Fallback>
        </mc:AlternateContent>
      </w:r>
      <w:r>
        <w:rPr>
          <w:rFonts w:hint="eastAsia" w:ascii="隶属" w:hAnsi="隶属" w:eastAsia="隶属" w:cs="隶属"/>
          <w:b/>
          <w:bCs/>
          <w:sz w:val="52"/>
          <w:szCs w:val="52"/>
          <w:lang w:eastAsia="zh-CN"/>
        </w:rPr>
        <w:t>中国西部开发促进会</w:t>
      </w:r>
      <w:r>
        <w:rPr>
          <w:rFonts w:hint="eastAsia" w:ascii="黑体" w:hAnsi="黑体" w:eastAsia="黑体" w:cs="黑体"/>
          <w:sz w:val="52"/>
          <w:szCs w:val="52"/>
        </w:rPr>
        <w:t xml:space="preserve"> </w:t>
      </w:r>
      <w:r>
        <w:rPr>
          <w:rFonts w:hint="eastAsia" w:ascii="黑体" w:hAnsi="黑体" w:eastAsia="黑体" w:cs="黑体"/>
          <w:sz w:val="28"/>
          <w:szCs w:val="28"/>
          <w:lang w:val="en-US" w:eastAsia="zh-CN"/>
        </w:rPr>
        <w:t>发 布</w:t>
      </w:r>
      <w:r>
        <w:rPr>
          <w:rFonts w:hint="eastAsia" w:ascii="黑体" w:hAnsi="黑体" w:eastAsia="黑体" w:cs="黑体"/>
          <w:sz w:val="52"/>
          <w:szCs w:val="52"/>
        </w:rPr>
        <w:t xml:space="preserve"> </w:t>
      </w:r>
    </w:p>
    <w:p w14:paraId="37987E63">
      <w:pPr>
        <w:pStyle w:val="21"/>
        <w:tabs>
          <w:tab w:val="clear" w:pos="4153"/>
          <w:tab w:val="clear" w:pos="8306"/>
        </w:tabs>
        <w:spacing w:line="240" w:lineRule="auto"/>
        <w:ind w:left="3" w:leftChars="0"/>
        <w:jc w:val="left"/>
        <w:rPr>
          <w:rFonts w:ascii="宋体" w:hAnsi="宋体"/>
          <w:sz w:val="28"/>
          <w:szCs w:val="28"/>
        </w:rPr>
      </w:pPr>
    </w:p>
    <w:sdt>
      <w:sdtPr>
        <w:rPr>
          <w:rFonts w:ascii="宋体" w:hAnsi="宋体" w:eastAsia="宋体" w:cs="Times New Roman"/>
          <w:kern w:val="2"/>
          <w:sz w:val="21"/>
          <w:szCs w:val="21"/>
          <w:lang w:val="en-US" w:eastAsia="zh-CN" w:bidi="ar-SA"/>
        </w:rPr>
        <w:id w:val="147478998"/>
        <w15:color w:val="DBDBDB"/>
        <w:docPartObj>
          <w:docPartGallery w:val="Table of Contents"/>
          <w:docPartUnique/>
        </w:docPartObj>
      </w:sdtPr>
      <w:sdtEndPr>
        <w:rPr>
          <w:rFonts w:hint="eastAsia" w:ascii="宋体" w:hAnsi="宋体" w:eastAsia="宋体" w:cs="宋体"/>
          <w:b/>
          <w:kern w:val="2"/>
          <w:sz w:val="21"/>
          <w:szCs w:val="21"/>
          <w:lang w:val="en-US" w:eastAsia="zh-CN" w:bidi="ar-SA"/>
        </w:rPr>
      </w:sdtEndPr>
      <w:sdtContent>
        <w:p w14:paraId="071C4F6B">
          <w:pPr>
            <w:keepNext w:val="0"/>
            <w:keepLines w:val="0"/>
            <w:pageBreakBefore w:val="0"/>
            <w:widowControl w:val="0"/>
            <w:kinsoku/>
            <w:wordWrap/>
            <w:overflowPunct/>
            <w:topLinePunct w:val="0"/>
            <w:autoSpaceDE/>
            <w:autoSpaceDN/>
            <w:bidi w:val="0"/>
            <w:adjustRightInd w:val="0"/>
            <w:snapToGrid/>
            <w:spacing w:before="850" w:beforeLines="0" w:after="680" w:afterLines="0" w:line="240" w:lineRule="auto"/>
            <w:ind w:left="0" w:leftChars="0" w:right="0" w:rightChars="0" w:firstLine="0" w:firstLineChars="0"/>
            <w:jc w:val="center"/>
            <w:textAlignment w:val="auto"/>
            <w:rPr>
              <w:rFonts w:hint="default" w:ascii="黑体" w:hAnsi="Calibri" w:eastAsia="黑体" w:cs="Times New Roman"/>
              <w:spacing w:val="320"/>
              <w:kern w:val="2"/>
              <w:sz w:val="32"/>
              <w:szCs w:val="21"/>
              <w:lang w:val="en-US" w:eastAsia="zh-CN" w:bidi="ar-SA"/>
            </w:rPr>
          </w:pPr>
          <w:bookmarkStart w:id="0" w:name="_Toc4779"/>
          <w:bookmarkStart w:id="1" w:name="qianyan"/>
          <w:bookmarkStart w:id="2" w:name="BookMark4"/>
          <w:r>
            <w:rPr>
              <w:rFonts w:ascii="黑体" w:hAnsi="Calibri" w:eastAsia="黑体" w:cs="Times New Roman"/>
              <w:spacing w:val="320"/>
              <w:kern w:val="2"/>
              <w:sz w:val="32"/>
              <w:szCs w:val="21"/>
              <w:lang w:val="en-US" w:eastAsia="zh-CN" w:bidi="ar-SA"/>
            </w:rPr>
            <w:t>目</w:t>
          </w:r>
          <w:r>
            <w:rPr>
              <w:rFonts w:hint="eastAsia" w:ascii="黑体" w:hAnsi="黑体" w:eastAsia="黑体" w:cs="黑体"/>
              <w:sz w:val="32"/>
              <w:szCs w:val="32"/>
            </w:rPr>
            <w:t>次</w:t>
          </w:r>
        </w:p>
        <w:p w14:paraId="7B223144">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"1-2" \h \u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_Toc12234 </w:instrText>
          </w:r>
          <w:r>
            <w:rPr>
              <w:rFonts w:hint="eastAsia" w:ascii="宋体" w:hAnsi="宋体" w:eastAsia="宋体" w:cs="宋体"/>
              <w:sz w:val="21"/>
              <w:szCs w:val="21"/>
            </w:rPr>
            <w:fldChar w:fldCharType="separate"/>
          </w:r>
          <w:r>
            <w:rPr>
              <w:rFonts w:hint="eastAsia" w:ascii="宋体" w:hAnsi="宋体" w:eastAsia="宋体" w:cs="宋体"/>
              <w:spacing w:val="317"/>
              <w:sz w:val="21"/>
              <w:szCs w:val="21"/>
            </w:rPr>
            <w:t>前</w:t>
          </w:r>
          <w:r>
            <w:rPr>
              <w:rFonts w:hint="eastAsia" w:ascii="宋体" w:hAnsi="宋体" w:eastAsia="宋体" w:cs="宋体"/>
              <w:sz w:val="21"/>
              <w:szCs w:val="21"/>
            </w:rPr>
            <w:t>言</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_Toc12234 \h </w:instrText>
          </w:r>
          <w:r>
            <w:rPr>
              <w:rFonts w:hint="eastAsia" w:ascii="宋体" w:hAnsi="宋体" w:eastAsia="宋体" w:cs="宋体"/>
              <w:sz w:val="21"/>
              <w:szCs w:val="21"/>
            </w:rPr>
            <w:fldChar w:fldCharType="separate"/>
          </w:r>
          <w:r>
            <w:rPr>
              <w:rFonts w:hint="eastAsia" w:ascii="宋体" w:hAnsi="宋体" w:eastAsia="宋体" w:cs="宋体"/>
              <w:sz w:val="21"/>
              <w:szCs w:val="21"/>
            </w:rPr>
            <w:t>II</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E0418D0">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_Toc14642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1 </w:t>
          </w:r>
          <w:r>
            <w:rPr>
              <w:rFonts w:hint="eastAsia" w:ascii="宋体" w:hAnsi="宋体" w:eastAsia="宋体" w:cs="宋体"/>
              <w:sz w:val="21"/>
              <w:szCs w:val="21"/>
            </w:rPr>
            <w:t>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_Toc14642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521C7B1">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_Toc14851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2 </w:t>
          </w:r>
          <w:r>
            <w:rPr>
              <w:rFonts w:hint="eastAsia" w:ascii="宋体" w:hAnsi="宋体" w:eastAsia="宋体" w:cs="宋体"/>
              <w:sz w:val="21"/>
              <w:szCs w:val="21"/>
            </w:rPr>
            <w:t>规范性引用文件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_Toc14851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C7ED025">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_Toc18853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3 </w:t>
          </w:r>
          <w:r>
            <w:rPr>
              <w:rFonts w:hint="eastAsia" w:ascii="宋体" w:hAnsi="宋体" w:eastAsia="宋体" w:cs="宋体"/>
              <w:sz w:val="21"/>
              <w:szCs w:val="21"/>
            </w:rPr>
            <w:t>术语和定义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_Toc18853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BC4F17B">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_Toc27870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4 </w:t>
          </w:r>
          <w:r>
            <w:rPr>
              <w:rFonts w:hint="eastAsia" w:ascii="宋体" w:hAnsi="宋体" w:eastAsia="宋体" w:cs="宋体"/>
              <w:sz w:val="21"/>
              <w:szCs w:val="21"/>
              <w:lang w:val="en-US" w:eastAsia="zh-CN"/>
            </w:rPr>
            <w:t>分类与型号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_Toc27870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FD5A4BB">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_Toc18037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ascii="宋体" w:hAnsi="宋体" w:eastAsia="宋体" w:cs="宋体"/>
              <w:sz w:val="21"/>
              <w:szCs w:val="21"/>
            </w:rPr>
            <w:t>产品分类</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_Toc18037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9DBE921">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_Toc26939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ascii="宋体" w:hAnsi="宋体" w:eastAsia="宋体" w:cs="宋体"/>
              <w:sz w:val="21"/>
              <w:szCs w:val="21"/>
              <w:lang w:val="en-US" w:eastAsia="zh-CN"/>
            </w:rPr>
            <w:t>型号编制</w:t>
          </w:r>
          <w:bookmarkStart w:id="152" w:name="_GoBack"/>
          <w:bookmarkEnd w:id="152"/>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_Toc26939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A56A365">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_Toc18806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5 </w:t>
          </w:r>
          <w:r>
            <w:rPr>
              <w:rFonts w:hint="eastAsia" w:ascii="宋体" w:hAnsi="宋体" w:eastAsia="宋体" w:cs="宋体"/>
              <w:sz w:val="21"/>
              <w:szCs w:val="21"/>
              <w:lang w:val="en-US" w:eastAsia="zh-CN"/>
            </w:rPr>
            <w:t>技术要求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_Toc18806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CC6095D">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_Toc2449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eastAsia" w:ascii="宋体" w:hAnsi="宋体" w:eastAsia="宋体" w:cs="宋体"/>
              <w:sz w:val="21"/>
              <w:szCs w:val="21"/>
              <w:lang w:val="en-US" w:eastAsia="zh-CN"/>
            </w:rPr>
            <w:t>通用要求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_Toc2449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53370B6">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_Toc14218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rPr>
              <w:rFonts w:hint="eastAsia" w:ascii="宋体" w:hAnsi="宋体" w:eastAsia="宋体" w:cs="宋体"/>
              <w:sz w:val="21"/>
              <w:szCs w:val="21"/>
              <w:lang w:val="en-US" w:eastAsia="zh-CN"/>
            </w:rPr>
            <w:t>尺寸偏差要求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_Toc14218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0D68C7D">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_Toc28847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rPr>
              <w:rFonts w:hint="eastAsia" w:ascii="宋体" w:hAnsi="宋体" w:eastAsia="宋体" w:cs="宋体"/>
              <w:sz w:val="21"/>
              <w:szCs w:val="21"/>
              <w:lang w:val="en-US" w:eastAsia="zh-CN"/>
            </w:rPr>
            <w:t>材质性能要求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_Toc28847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16E6D64">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_Toc4673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 </w:t>
          </w:r>
          <w:r>
            <w:rPr>
              <w:rFonts w:hint="eastAsia" w:ascii="宋体" w:hAnsi="宋体" w:eastAsia="宋体" w:cs="宋体"/>
              <w:sz w:val="21"/>
              <w:szCs w:val="21"/>
              <w:lang w:val="en-US" w:eastAsia="zh-CN"/>
            </w:rPr>
            <w:t>结构防护性能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_Toc4673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92597BD">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_Toc17400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 </w:t>
          </w:r>
          <w:r>
            <w:rPr>
              <w:rFonts w:hint="eastAsia" w:ascii="宋体" w:hAnsi="宋体" w:eastAsia="宋体" w:cs="宋体"/>
              <w:sz w:val="21"/>
              <w:szCs w:val="21"/>
              <w:lang w:val="en-US" w:eastAsia="zh-CN"/>
            </w:rPr>
            <w:t>警示标识要求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_Toc17400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93AC7F6">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_Toc13114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5.6 </w:t>
          </w:r>
          <w:r>
            <w:rPr>
              <w:rFonts w:hint="eastAsia" w:ascii="宋体" w:hAnsi="宋体" w:eastAsia="宋体" w:cs="宋体"/>
              <w:sz w:val="21"/>
              <w:szCs w:val="21"/>
              <w:lang w:val="en-US" w:eastAsia="zh-CN"/>
            </w:rPr>
            <w:t>安全间距要求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_Toc13114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58535A9">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_Toc16692 </w:instrText>
          </w:r>
          <w:r>
            <w:rPr>
              <w:rFonts w:hint="eastAsia" w:ascii="宋体" w:hAnsi="宋体" w:eastAsia="宋体" w:cs="宋体"/>
              <w:sz w:val="21"/>
              <w:szCs w:val="21"/>
            </w:rPr>
            <w:fldChar w:fldCharType="separate"/>
          </w:r>
          <w:r>
            <w:rPr>
              <w:rFonts w:hint="eastAsia" w:ascii="宋体" w:hAnsi="宋体" w:eastAsia="宋体" w:cs="宋体"/>
              <w:i w:val="0"/>
              <w:sz w:val="21"/>
              <w:szCs w:val="21"/>
              <w:lang w:val="en-US" w:eastAsia="zh-CN"/>
            </w:rPr>
            <w:t xml:space="preserve">6 </w:t>
          </w:r>
          <w:r>
            <w:rPr>
              <w:rFonts w:hint="eastAsia" w:ascii="宋体" w:hAnsi="宋体" w:eastAsia="宋体" w:cs="宋体"/>
              <w:sz w:val="21"/>
              <w:szCs w:val="21"/>
              <w:lang w:val="en-US" w:eastAsia="zh-CN"/>
            </w:rPr>
            <w:t>试验方法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_Toc16692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294DA55">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_Toc2360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r>
            <w:rPr>
              <w:rFonts w:hint="eastAsia" w:ascii="宋体" w:hAnsi="宋体" w:eastAsia="宋体" w:cs="宋体"/>
              <w:sz w:val="21"/>
              <w:szCs w:val="21"/>
              <w:lang w:val="en-US" w:eastAsia="zh-CN"/>
            </w:rPr>
            <w:t>试验条件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_Toc2360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9044A06">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_Toc3015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 </w:t>
          </w:r>
          <w:r>
            <w:rPr>
              <w:rFonts w:hint="eastAsia" w:ascii="宋体" w:hAnsi="宋体" w:eastAsia="宋体" w:cs="宋体"/>
              <w:sz w:val="21"/>
              <w:szCs w:val="21"/>
              <w:lang w:val="en-US" w:eastAsia="zh-CN"/>
            </w:rPr>
            <w:t>外观检测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_Toc3015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177B9DF2">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_Toc8950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6.3 </w:t>
          </w:r>
          <w:r>
            <w:rPr>
              <w:rFonts w:hint="eastAsia" w:ascii="宋体" w:hAnsi="宋体" w:eastAsia="宋体" w:cs="宋体"/>
              <w:sz w:val="21"/>
              <w:szCs w:val="21"/>
              <w:lang w:val="en-US" w:eastAsia="zh-CN"/>
            </w:rPr>
            <w:t>尺寸偏差检测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_Toc8950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B85B7B0">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_Toc13509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6.4 </w:t>
          </w:r>
          <w:r>
            <w:rPr>
              <w:rFonts w:hint="eastAsia" w:ascii="宋体" w:hAnsi="宋体" w:eastAsia="宋体" w:cs="宋体"/>
              <w:sz w:val="21"/>
              <w:szCs w:val="21"/>
              <w:lang w:val="en-US" w:eastAsia="zh-CN"/>
            </w:rPr>
            <w:t>材质性能试验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_Toc13509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1C2AA3F2">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_Toc7541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6.5 </w:t>
          </w:r>
          <w:r>
            <w:rPr>
              <w:rFonts w:hint="eastAsia" w:ascii="宋体" w:hAnsi="宋体" w:eastAsia="宋体" w:cs="宋体"/>
              <w:sz w:val="21"/>
              <w:szCs w:val="21"/>
              <w:lang w:val="en-US" w:eastAsia="zh-CN"/>
            </w:rPr>
            <w:t>结构防护性能试验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_Toc7541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D651D14">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_Toc23675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6.6 </w:t>
          </w:r>
          <w:r>
            <w:rPr>
              <w:rFonts w:hint="eastAsia" w:ascii="宋体" w:hAnsi="宋体" w:eastAsia="宋体" w:cs="宋体"/>
              <w:sz w:val="21"/>
              <w:szCs w:val="21"/>
              <w:lang w:val="en-US" w:eastAsia="zh-CN"/>
            </w:rPr>
            <w:t>警示标识性能试验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_Toc23675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A0EB5C6">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_Toc31193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6.7 </w:t>
          </w:r>
          <w:r>
            <w:rPr>
              <w:rFonts w:hint="eastAsia" w:ascii="宋体" w:hAnsi="宋体" w:eastAsia="宋体" w:cs="宋体"/>
              <w:sz w:val="21"/>
              <w:szCs w:val="21"/>
              <w:lang w:val="en-US" w:eastAsia="zh-CN"/>
            </w:rPr>
            <w:t>安全间距核查</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_Toc31193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161EA1F">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_Toc352 </w:instrText>
          </w:r>
          <w:r>
            <w:rPr>
              <w:rFonts w:hint="eastAsia" w:ascii="宋体" w:hAnsi="宋体" w:eastAsia="宋体" w:cs="宋体"/>
              <w:sz w:val="21"/>
              <w:szCs w:val="21"/>
            </w:rPr>
            <w:fldChar w:fldCharType="separate"/>
          </w:r>
          <w:r>
            <w:rPr>
              <w:rFonts w:hint="eastAsia" w:ascii="宋体" w:hAnsi="宋体" w:eastAsia="宋体" w:cs="宋体"/>
              <w:i w:val="0"/>
              <w:sz w:val="21"/>
              <w:szCs w:val="21"/>
              <w:lang w:val="en-US" w:eastAsia="zh-CN" w:bidi="ar-SA"/>
            </w:rPr>
            <w:t xml:space="preserve">7 </w:t>
          </w:r>
          <w:r>
            <w:rPr>
              <w:rFonts w:hint="eastAsia" w:ascii="宋体" w:hAnsi="宋体" w:eastAsia="宋体" w:cs="宋体"/>
              <w:sz w:val="21"/>
              <w:szCs w:val="21"/>
              <w:lang w:val="en-US" w:eastAsia="zh-CN" w:bidi="ar-SA"/>
            </w:rPr>
            <w:t>检验规则</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_Toc352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735E675">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_Toc16145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7.1 </w:t>
          </w:r>
          <w:r>
            <w:rPr>
              <w:rFonts w:hint="eastAsia" w:ascii="宋体" w:hAnsi="宋体" w:eastAsia="宋体" w:cs="宋体"/>
              <w:bCs w:val="0"/>
              <w:sz w:val="21"/>
              <w:szCs w:val="21"/>
              <w:lang w:val="en-US" w:eastAsia="zh-CN" w:bidi="ar-SA"/>
            </w:rPr>
            <w:t>检验分类</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_Toc16145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ED273D1">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_Toc28570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7.2 </w:t>
          </w:r>
          <w:r>
            <w:rPr>
              <w:rFonts w:hint="eastAsia" w:ascii="宋体" w:hAnsi="宋体" w:eastAsia="宋体" w:cs="宋体"/>
              <w:bCs w:val="0"/>
              <w:sz w:val="21"/>
              <w:szCs w:val="21"/>
              <w:lang w:val="en-US" w:eastAsia="zh-CN" w:bidi="ar-SA"/>
            </w:rPr>
            <w:t>出厂检验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_Toc28570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1A233A9">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_Toc11742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 </w:t>
          </w:r>
          <w:r>
            <w:rPr>
              <w:rFonts w:hint="eastAsia" w:ascii="宋体" w:hAnsi="宋体" w:eastAsia="宋体" w:cs="宋体"/>
              <w:bCs w:val="0"/>
              <w:sz w:val="21"/>
              <w:szCs w:val="21"/>
              <w:lang w:val="en-US" w:eastAsia="zh-CN" w:bidi="ar-SA"/>
            </w:rPr>
            <w:t>型式检验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_Toc11742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2F813D2">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_Toc7528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7.4 </w:t>
          </w:r>
          <w:r>
            <w:rPr>
              <w:rFonts w:hint="eastAsia" w:ascii="宋体" w:hAnsi="宋体" w:eastAsia="宋体" w:cs="宋体"/>
              <w:bCs w:val="0"/>
              <w:sz w:val="21"/>
              <w:szCs w:val="21"/>
              <w:lang w:val="en-US" w:eastAsia="zh-CN" w:bidi="ar-SA"/>
            </w:rPr>
            <w:t>检验报告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_Toc7528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E4DCD3B">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_Toc16885 </w:instrText>
          </w:r>
          <w:r>
            <w:rPr>
              <w:rFonts w:hint="eastAsia" w:ascii="宋体" w:hAnsi="宋体" w:eastAsia="宋体" w:cs="宋体"/>
              <w:sz w:val="21"/>
              <w:szCs w:val="21"/>
            </w:rPr>
            <w:fldChar w:fldCharType="separate"/>
          </w:r>
          <w:r>
            <w:rPr>
              <w:rFonts w:hint="eastAsia" w:ascii="宋体" w:hAnsi="宋体" w:eastAsia="宋体" w:cs="宋体"/>
              <w:i w:val="0"/>
              <w:sz w:val="21"/>
              <w:szCs w:val="21"/>
              <w:lang w:val="en-US" w:eastAsia="zh-CN" w:bidi="ar-SA"/>
            </w:rPr>
            <w:t xml:space="preserve">8 </w:t>
          </w:r>
          <w:r>
            <w:rPr>
              <w:rFonts w:hint="eastAsia" w:ascii="宋体" w:hAnsi="宋体" w:eastAsia="宋体" w:cs="宋体"/>
              <w:sz w:val="21"/>
              <w:szCs w:val="21"/>
              <w:lang w:val="en-US" w:eastAsia="zh-CN" w:bidi="ar-SA"/>
            </w:rPr>
            <w:t>标志、包装、运输和贮存</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_Toc16885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6627461">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_Toc25660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8.1 </w:t>
          </w:r>
          <w:r>
            <w:rPr>
              <w:rFonts w:hint="eastAsia" w:ascii="宋体" w:hAnsi="宋体" w:eastAsia="宋体" w:cs="宋体"/>
              <w:sz w:val="21"/>
              <w:szCs w:val="21"/>
              <w:lang w:val="en-US" w:eastAsia="zh-CN" w:bidi="ar-SA"/>
            </w:rPr>
            <w:t>标志</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_Toc25660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16967F34">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_Toc20817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8.2 </w:t>
          </w:r>
          <w:r>
            <w:rPr>
              <w:rFonts w:hint="eastAsia" w:ascii="宋体" w:hAnsi="宋体" w:eastAsia="宋体" w:cs="宋体"/>
              <w:sz w:val="21"/>
              <w:szCs w:val="21"/>
              <w:lang w:val="en-US" w:eastAsia="zh-CN" w:bidi="ar-SA"/>
            </w:rPr>
            <w:t>包装</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_Toc20817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1FE6B863">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_Toc17225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8.3 </w:t>
          </w:r>
          <w:r>
            <w:rPr>
              <w:rFonts w:hint="eastAsia" w:ascii="宋体" w:hAnsi="宋体" w:eastAsia="宋体" w:cs="宋体"/>
              <w:sz w:val="21"/>
              <w:szCs w:val="21"/>
              <w:lang w:val="en-US" w:eastAsia="zh-CN" w:bidi="ar-SA"/>
            </w:rPr>
            <w:t>运输</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_Toc17225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BEB5CE5">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_Toc25325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8.4 </w:t>
          </w:r>
          <w:r>
            <w:rPr>
              <w:rFonts w:hint="eastAsia" w:ascii="宋体" w:hAnsi="宋体" w:eastAsia="宋体" w:cs="宋体"/>
              <w:sz w:val="21"/>
              <w:szCs w:val="21"/>
              <w:lang w:val="en-US" w:eastAsia="zh-CN" w:bidi="ar-SA"/>
            </w:rPr>
            <w:t>贮存</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_Toc25325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9BC32F2">
          <w:pPr>
            <w:pStyle w:val="96"/>
            <w:keepNext w:val="0"/>
            <w:keepLines w:val="0"/>
            <w:pageBreakBefore w:val="0"/>
            <w:numPr>
              <w:ilvl w:val="0"/>
              <w:numId w:val="0"/>
            </w:numPr>
            <w:kinsoku/>
            <w:wordWrap/>
            <w:overflowPunct/>
            <w:topLinePunct w:val="0"/>
            <w:autoSpaceDE/>
            <w:autoSpaceDN/>
            <w:bidi w:val="0"/>
            <w:snapToGrid/>
            <w:spacing w:before="0" w:after="0" w:line="400" w:lineRule="exact"/>
            <w:ind w:leftChars="0"/>
            <w:jc w:val="both"/>
            <w:textAlignment w:val="auto"/>
            <w:rPr>
              <w:rFonts w:hint="eastAsia" w:ascii="宋体" w:hAnsi="宋体" w:eastAsia="宋体" w:cs="宋体"/>
              <w:sz w:val="21"/>
              <w:szCs w:val="21"/>
            </w:rPr>
            <w:sectPr>
              <w:headerReference r:id="rId9" w:type="default"/>
              <w:footerReference r:id="rId10" w:type="default"/>
              <w:pgSz w:w="11906" w:h="16838"/>
              <w:pgMar w:top="1928" w:right="1134" w:bottom="1134" w:left="1134" w:header="1418" w:footer="1134" w:gutter="284"/>
              <w:pgNumType w:fmt="upperRoman" w:start="2"/>
              <w:cols w:space="425" w:num="1"/>
              <w:formProt w:val="0"/>
              <w:docGrid w:linePitch="312" w:charSpace="0"/>
            </w:sectPr>
          </w:pPr>
          <w:r>
            <w:rPr>
              <w:rFonts w:hint="eastAsia" w:ascii="宋体" w:hAnsi="宋体" w:eastAsia="宋体" w:cs="宋体"/>
              <w:sz w:val="21"/>
              <w:szCs w:val="21"/>
            </w:rPr>
            <w:fldChar w:fldCharType="end"/>
          </w:r>
        </w:p>
      </w:sdtContent>
    </w:sdt>
    <w:p w14:paraId="55177810">
      <w:pPr>
        <w:pStyle w:val="96"/>
      </w:pPr>
      <w:bookmarkStart w:id="3" w:name="_Toc29793"/>
      <w:bookmarkStart w:id="4" w:name="_Toc12234"/>
      <w:r>
        <w:rPr>
          <w:rFonts w:hint="eastAsia"/>
          <w:spacing w:val="317"/>
        </w:rPr>
        <w:t>前</w:t>
      </w:r>
      <w:r>
        <w:rPr>
          <w:rFonts w:hint="eastAsia"/>
        </w:rPr>
        <w:t>言</w:t>
      </w:r>
      <w:bookmarkEnd w:id="0"/>
      <w:bookmarkEnd w:id="3"/>
      <w:bookmarkEnd w:id="4"/>
    </w:p>
    <w:p w14:paraId="3A920D21">
      <w:pPr>
        <w:pStyle w:val="63"/>
        <w:rPr>
          <w:rFonts w:hint="eastAsia"/>
        </w:rPr>
      </w:pPr>
      <w:r>
        <w:rPr>
          <w:rFonts w:hint="eastAsia"/>
        </w:rPr>
        <w:t>本文件按照GB/T 1.1—2020《标准化工作导则  第1部分：标准化文件的结构和起草规则》的规定起草。</w:t>
      </w:r>
    </w:p>
    <w:p w14:paraId="6513B45D">
      <w:pPr>
        <w:pStyle w:val="63"/>
        <w:rPr>
          <w:rFonts w:hint="eastAsia"/>
        </w:rPr>
      </w:pPr>
      <w:r>
        <w:rPr>
          <w:rFonts w:hint="eastAsia"/>
        </w:rPr>
        <w:t>请注意本文件的某些内容可能涉及专利。本文件的发布机构不承担识别专利的责任。</w:t>
      </w:r>
    </w:p>
    <w:p w14:paraId="26FB70E9">
      <w:pPr>
        <w:pStyle w:val="63"/>
        <w:rPr>
          <w:rFonts w:hint="eastAsia"/>
        </w:rPr>
      </w:pPr>
      <w:r>
        <w:rPr>
          <w:rFonts w:hint="eastAsia"/>
        </w:rPr>
        <w:t>本文件由中国西部开发促进会提出并归口。</w:t>
      </w:r>
    </w:p>
    <w:p w14:paraId="317F4069">
      <w:pPr>
        <w:pStyle w:val="63"/>
        <w:rPr>
          <w:rFonts w:hint="eastAsia"/>
        </w:rPr>
      </w:pPr>
      <w:r>
        <w:rPr>
          <w:rFonts w:hint="eastAsia"/>
        </w:rPr>
        <w:t>本文件起草单位：。</w:t>
      </w:r>
    </w:p>
    <w:p w14:paraId="54841851">
      <w:pPr>
        <w:pStyle w:val="63"/>
        <w:rPr>
          <w:rFonts w:hint="eastAsia"/>
        </w:rPr>
      </w:pPr>
      <w:r>
        <w:rPr>
          <w:rFonts w:hint="eastAsia"/>
        </w:rPr>
        <w:t>本文件主要起草人：。</w:t>
      </w:r>
    </w:p>
    <w:p w14:paraId="5908401F">
      <w:pPr>
        <w:pStyle w:val="63"/>
        <w:rPr>
          <w:rFonts w:hint="eastAsia"/>
        </w:rPr>
      </w:pPr>
      <w:r>
        <w:rPr>
          <w:rFonts w:hint="eastAsia"/>
        </w:rPr>
        <w:t>本文件为首次发布。</w:t>
      </w:r>
    </w:p>
    <w:p w14:paraId="1BC9CDF4"/>
    <w:p w14:paraId="073A27D9">
      <w:pPr>
        <w:sectPr>
          <w:pgSz w:w="11906" w:h="16838"/>
          <w:pgMar w:top="1928" w:right="1134" w:bottom="1134" w:left="1134" w:header="1418" w:footer="1134" w:gutter="284"/>
          <w:pgNumType w:fmt="upperRoman" w:start="2"/>
          <w:cols w:space="425" w:num="1"/>
          <w:formProt w:val="0"/>
          <w:docGrid w:linePitch="312" w:charSpace="0"/>
        </w:sectPr>
      </w:pPr>
    </w:p>
    <w:bookmarkEnd w:id="1"/>
    <w:p w14:paraId="27EED881">
      <w:pPr>
        <w:spacing w:line="20" w:lineRule="exact"/>
        <w:jc w:val="center"/>
        <w:rPr>
          <w:rFonts w:ascii="黑体" w:hAnsi="黑体" w:eastAsia="黑体"/>
          <w:sz w:val="32"/>
          <w:szCs w:val="32"/>
        </w:rPr>
      </w:pPr>
    </w:p>
    <w:p w14:paraId="10F49A4E">
      <w:pPr>
        <w:spacing w:line="20" w:lineRule="exact"/>
        <w:jc w:val="center"/>
        <w:rPr>
          <w:rFonts w:ascii="黑体" w:hAnsi="黑体" w:eastAsia="黑体"/>
          <w:sz w:val="32"/>
          <w:szCs w:val="32"/>
        </w:rPr>
      </w:pPr>
    </w:p>
    <w:p w14:paraId="12D05E78">
      <w:pPr>
        <w:pStyle w:val="184"/>
      </w:pPr>
      <w:bookmarkStart w:id="5" w:name="NEW_STAND_NAME"/>
      <w:sdt>
        <w:sdtPr>
          <w:rPr>
            <w:rFonts w:hAnsi="宋体"/>
            <w:lang w:bidi="ar"/>
          </w:rPr>
          <w:tag w:val="mainTextTitle"/>
          <w:id w:val="147453193"/>
          <w:placeholder>
            <w:docPart w:val="{ee073880-b451-4ff0-9253-5135824a1eff}"/>
          </w:placeholder>
        </w:sdtPr>
        <w:sdtEndPr>
          <w:rPr>
            <w:rFonts w:hint="eastAsia" w:hAnsi="宋体"/>
            <w:lang w:bidi="ar"/>
          </w:rPr>
        </w:sdtEndPr>
        <w:sdtContent>
          <w:r>
            <w:rPr>
              <w:rFonts w:hint="eastAsia" w:hAnsi="宋体"/>
              <w:lang w:bidi="ar"/>
            </w:rPr>
            <w:t>电力防护墩</w:t>
          </w:r>
        </w:sdtContent>
      </w:sdt>
      <w:bookmarkEnd w:id="5"/>
    </w:p>
    <w:p w14:paraId="5EC4DF4C">
      <w:pPr>
        <w:pStyle w:val="111"/>
        <w:spacing w:before="240" w:after="240"/>
      </w:pPr>
      <w:bookmarkStart w:id="6" w:name="_Toc17233325"/>
      <w:bookmarkStart w:id="7" w:name="_Toc26986530"/>
      <w:bookmarkStart w:id="8" w:name="_Toc12505"/>
      <w:bookmarkStart w:id="9" w:name="_Toc26718930"/>
      <w:bookmarkStart w:id="10" w:name="_Toc26986771"/>
      <w:bookmarkStart w:id="11" w:name="_Toc17233333"/>
      <w:bookmarkStart w:id="12" w:name="_Toc97195091"/>
      <w:bookmarkStart w:id="13" w:name="_Toc24884218"/>
      <w:bookmarkStart w:id="14" w:name="_Toc12617"/>
      <w:bookmarkStart w:id="15" w:name="_Toc24884211"/>
      <w:bookmarkStart w:id="16" w:name="_Toc26648465"/>
      <w:bookmarkStart w:id="17" w:name="_Toc14642"/>
      <w:r>
        <w:rPr>
          <w:rFonts w:hint="eastAsia"/>
        </w:rPr>
        <w:t>范围</w:t>
      </w:r>
      <w:bookmarkEnd w:id="6"/>
      <w:bookmarkEnd w:id="7"/>
      <w:bookmarkEnd w:id="8"/>
      <w:bookmarkEnd w:id="9"/>
      <w:bookmarkEnd w:id="10"/>
      <w:bookmarkEnd w:id="11"/>
      <w:bookmarkEnd w:id="12"/>
      <w:bookmarkEnd w:id="13"/>
      <w:bookmarkEnd w:id="14"/>
      <w:bookmarkEnd w:id="15"/>
      <w:bookmarkEnd w:id="16"/>
      <w:bookmarkEnd w:id="17"/>
    </w:p>
    <w:p w14:paraId="4488D8AE">
      <w:pPr>
        <w:pStyle w:val="63"/>
        <w:rPr>
          <w:rFonts w:hint="eastAsia" w:eastAsia="宋体"/>
          <w:lang w:val="en-US" w:eastAsia="zh-CN"/>
        </w:rPr>
      </w:pPr>
      <w:bookmarkStart w:id="18" w:name="_Toc26648466"/>
      <w:bookmarkStart w:id="19" w:name="_Toc17233326"/>
      <w:bookmarkStart w:id="20" w:name="_Toc24884212"/>
      <w:bookmarkStart w:id="21" w:name="_Toc17233334"/>
      <w:bookmarkStart w:id="22" w:name="_Toc24884219"/>
      <w:r>
        <w:rPr>
          <w:rFonts w:hint="eastAsia"/>
        </w:rPr>
        <w:t>本文件规定了电力防护墩的分类与型号、技术要求、试验方法、检验规则、标志、包装、运输</w:t>
      </w:r>
      <w:r>
        <w:rPr>
          <w:rFonts w:hint="eastAsia"/>
          <w:lang w:val="en-US" w:eastAsia="zh-CN"/>
        </w:rPr>
        <w:t>和</w:t>
      </w:r>
      <w:r>
        <w:rPr>
          <w:rFonts w:hint="eastAsia"/>
        </w:rPr>
        <w:t>贮存</w:t>
      </w:r>
      <w:r>
        <w:rPr>
          <w:rFonts w:hint="eastAsia"/>
          <w:lang w:val="en-US" w:eastAsia="zh-CN"/>
        </w:rPr>
        <w:t>。</w:t>
      </w:r>
    </w:p>
    <w:p w14:paraId="3854AD99">
      <w:pPr>
        <w:pStyle w:val="63"/>
        <w:rPr>
          <w:rFonts w:hint="eastAsia"/>
          <w:lang w:eastAsia="zh-CN"/>
        </w:rPr>
      </w:pPr>
      <w:r>
        <w:rPr>
          <w:rFonts w:hint="eastAsia"/>
          <w:lang w:eastAsia="zh-CN"/>
        </w:rPr>
        <w:t>本文件适用于10kV～220kV输配电线路杆塔、箱式变电站、户外配电设备、电力电缆终端头等电力设施周边，用于防撞、隔离、防护的固定式电力防护墩（以下简称“防护墩”）。</w:t>
      </w:r>
    </w:p>
    <w:p w14:paraId="6E83A890">
      <w:pPr>
        <w:pStyle w:val="111"/>
        <w:spacing w:before="240" w:after="240"/>
      </w:pPr>
      <w:bookmarkStart w:id="23" w:name="_Toc26986772"/>
      <w:bookmarkStart w:id="24" w:name="_Toc26718931"/>
      <w:bookmarkStart w:id="25" w:name="_Toc97195092"/>
      <w:bookmarkStart w:id="26" w:name="_Toc26986531"/>
      <w:bookmarkStart w:id="27" w:name="_Toc8381"/>
      <w:bookmarkStart w:id="28" w:name="_Toc7490"/>
      <w:bookmarkStart w:id="29" w:name="_Toc14851"/>
      <w:r>
        <w:rPr>
          <w:rFonts w:hint="eastAsia"/>
        </w:rPr>
        <w:t>规范性引用文件</w:t>
      </w:r>
      <w:bookmarkEnd w:id="18"/>
      <w:bookmarkEnd w:id="19"/>
      <w:bookmarkEnd w:id="20"/>
      <w:bookmarkEnd w:id="21"/>
      <w:bookmarkEnd w:id="22"/>
      <w:bookmarkEnd w:id="23"/>
      <w:bookmarkEnd w:id="24"/>
      <w:bookmarkEnd w:id="25"/>
      <w:bookmarkEnd w:id="26"/>
      <w:bookmarkEnd w:id="27"/>
      <w:bookmarkEnd w:id="28"/>
      <w:bookmarkEnd w:id="29"/>
    </w:p>
    <w:sdt>
      <w:sdtPr>
        <w:id w:val="147479123"/>
        <w:placeholder>
          <w:docPart w:val="{7be65522-be42-417e-a61a-794d4bc9e243}"/>
        </w:placeholder>
        <w:comboBox>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comboBox>
      </w:sdtPr>
      <w:sdtContent>
        <w:p w14:paraId="7E0196FE">
          <w:pPr>
            <w:pStyle w:val="63"/>
            <w:rPr>
              <w:rFonts w:hint="eastAsia"/>
              <w:lang w:val="en-US" w:eastAsia="zh-CN"/>
            </w:rPr>
          </w:pPr>
          <w: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2F12D7AB">
      <w:pPr>
        <w:pStyle w:val="63"/>
        <w:rPr>
          <w:rFonts w:hint="default"/>
          <w:lang w:val="en-US" w:eastAsia="zh-CN"/>
        </w:rPr>
      </w:pPr>
      <w:r>
        <w:rPr>
          <w:rFonts w:hint="eastAsia"/>
          <w:lang w:val="en-US" w:eastAsia="zh-CN"/>
        </w:rPr>
        <w:t>GB/T 191  包装储运图形符号标志</w:t>
      </w:r>
    </w:p>
    <w:p w14:paraId="215F8C9F">
      <w:pPr>
        <w:pStyle w:val="63"/>
        <w:rPr>
          <w:rFonts w:hint="default"/>
          <w:lang w:val="en-US" w:eastAsia="zh-CN"/>
        </w:rPr>
      </w:pPr>
      <w:r>
        <w:rPr>
          <w:rFonts w:hint="eastAsia"/>
          <w:lang w:val="en-US" w:eastAsia="zh-CN"/>
        </w:rPr>
        <w:t>GB/T 1447  纤维增强塑料拉伸性能试验方法</w:t>
      </w:r>
    </w:p>
    <w:p w14:paraId="33AA5835">
      <w:pPr>
        <w:pStyle w:val="63"/>
        <w:rPr>
          <w:rFonts w:hint="default"/>
          <w:lang w:val="en-US" w:eastAsia="zh-CN"/>
        </w:rPr>
      </w:pPr>
      <w:r>
        <w:rPr>
          <w:rFonts w:hint="eastAsia"/>
          <w:lang w:val="en-US" w:eastAsia="zh-CN"/>
        </w:rPr>
        <w:t>GB/T 1449  纤维增强塑料弯曲性能试验方法</w:t>
      </w:r>
    </w:p>
    <w:p w14:paraId="7A185BF8">
      <w:pPr>
        <w:pStyle w:val="63"/>
        <w:rPr>
          <w:rFonts w:hint="default"/>
          <w:lang w:val="en-US" w:eastAsia="zh-CN"/>
        </w:rPr>
      </w:pPr>
      <w:r>
        <w:rPr>
          <w:rFonts w:hint="eastAsia"/>
          <w:lang w:val="en-US" w:eastAsia="zh-CN"/>
        </w:rPr>
        <w:t>GB/T 2423.1  电工电子产品环境试验 第2部分：试验方法 试验A： 低温</w:t>
      </w:r>
    </w:p>
    <w:p w14:paraId="75CABD15">
      <w:pPr>
        <w:pStyle w:val="63"/>
        <w:rPr>
          <w:rFonts w:hint="default"/>
          <w:lang w:val="en-US" w:eastAsia="zh-CN"/>
        </w:rPr>
      </w:pPr>
      <w:r>
        <w:rPr>
          <w:rFonts w:hint="eastAsia"/>
          <w:lang w:val="en-US" w:eastAsia="zh-CN"/>
        </w:rPr>
        <w:t>GB/T 2423.2  电工电子产品环境试验 第2部分：试验方法 试验B：高温</w:t>
      </w:r>
    </w:p>
    <w:p w14:paraId="1617AD2A">
      <w:pPr>
        <w:pStyle w:val="63"/>
        <w:rPr>
          <w:rFonts w:hint="default"/>
          <w:lang w:val="en-US" w:eastAsia="zh-CN"/>
        </w:rPr>
      </w:pPr>
      <w:r>
        <w:rPr>
          <w:rFonts w:hint="eastAsia"/>
          <w:lang w:val="en-US" w:eastAsia="zh-CN"/>
        </w:rPr>
        <w:t>GB/T 2828.1  计数抽样检验程序 第1部分：按接收质量限（AQL）检索的逐批检验抽样计划</w:t>
      </w:r>
    </w:p>
    <w:p w14:paraId="31DB9B52">
      <w:pPr>
        <w:pStyle w:val="63"/>
        <w:rPr>
          <w:rFonts w:hint="default"/>
          <w:lang w:val="en-US" w:eastAsia="zh-CN"/>
        </w:rPr>
      </w:pPr>
      <w:r>
        <w:rPr>
          <w:rFonts w:hint="eastAsia"/>
          <w:lang w:val="en-US" w:eastAsia="zh-CN"/>
        </w:rPr>
        <w:t>GB/T 3854  增强塑料巴柯尔硬度试验方法</w:t>
      </w:r>
    </w:p>
    <w:p w14:paraId="58712146">
      <w:pPr>
        <w:pStyle w:val="63"/>
        <w:rPr>
          <w:rFonts w:hint="default"/>
          <w:lang w:val="en-US" w:eastAsia="zh-CN"/>
        </w:rPr>
      </w:pPr>
      <w:r>
        <w:rPr>
          <w:rFonts w:hint="eastAsia"/>
          <w:lang w:val="en-US" w:eastAsia="zh-CN"/>
        </w:rPr>
        <w:t>GB/T 36291.1  电力安全设施配置技术规范　第1部分：变电站</w:t>
      </w:r>
    </w:p>
    <w:p w14:paraId="592BE10B">
      <w:pPr>
        <w:pStyle w:val="63"/>
        <w:rPr>
          <w:rFonts w:hint="default"/>
          <w:lang w:val="en-US" w:eastAsia="zh-CN"/>
        </w:rPr>
      </w:pPr>
      <w:r>
        <w:rPr>
          <w:rFonts w:hint="eastAsia"/>
          <w:lang w:val="en-US" w:eastAsia="zh-CN"/>
        </w:rPr>
        <w:t>GB/T 50010  混凝土结构设计规范(附条文说明)</w:t>
      </w:r>
    </w:p>
    <w:p w14:paraId="347AB531">
      <w:pPr>
        <w:pStyle w:val="63"/>
        <w:rPr>
          <w:rFonts w:hint="default"/>
          <w:lang w:val="en-US" w:eastAsia="zh-CN"/>
        </w:rPr>
      </w:pPr>
      <w:r>
        <w:rPr>
          <w:rFonts w:hint="eastAsia"/>
          <w:lang w:val="en-US" w:eastAsia="zh-CN"/>
        </w:rPr>
        <w:t>GB 50053  20kV及以下变电所设计规范</w:t>
      </w:r>
    </w:p>
    <w:p w14:paraId="59B0C2C6">
      <w:pPr>
        <w:pStyle w:val="63"/>
        <w:rPr>
          <w:rFonts w:hint="default"/>
          <w:lang w:val="en-US" w:eastAsia="zh-CN"/>
        </w:rPr>
      </w:pPr>
      <w:r>
        <w:rPr>
          <w:rFonts w:hint="eastAsia"/>
          <w:lang w:val="en-US" w:eastAsia="zh-CN"/>
        </w:rPr>
        <w:t>GB/T 50081  混凝土物理力学性能试验方法标准</w:t>
      </w:r>
    </w:p>
    <w:p w14:paraId="40392EF2">
      <w:pPr>
        <w:pStyle w:val="63"/>
        <w:rPr>
          <w:rFonts w:hint="default"/>
          <w:lang w:val="en-US" w:eastAsia="zh-CN"/>
        </w:rPr>
      </w:pPr>
      <w:r>
        <w:rPr>
          <w:rFonts w:hint="eastAsia"/>
          <w:lang w:val="en-US" w:eastAsia="zh-CN"/>
        </w:rPr>
        <w:t>GB 50164  混凝土质量控制标准</w:t>
      </w:r>
    </w:p>
    <w:p w14:paraId="550A91F1">
      <w:pPr>
        <w:pStyle w:val="63"/>
        <w:rPr>
          <w:rFonts w:hint="eastAsia"/>
          <w:lang w:val="en-US" w:eastAsia="zh-CN"/>
        </w:rPr>
      </w:pPr>
      <w:r>
        <w:rPr>
          <w:rFonts w:hint="eastAsia"/>
          <w:lang w:val="en-US" w:eastAsia="zh-CN"/>
        </w:rPr>
        <w:t>DL/T 2160  电力设施安全防范系统技术规范</w:t>
      </w:r>
    </w:p>
    <w:p w14:paraId="7E0F02AA">
      <w:pPr>
        <w:pStyle w:val="111"/>
        <w:spacing w:before="240" w:after="240"/>
      </w:pPr>
      <w:bookmarkStart w:id="30" w:name="_Toc97195093"/>
      <w:bookmarkStart w:id="31" w:name="_Toc11143"/>
      <w:bookmarkStart w:id="32" w:name="_Toc21736"/>
      <w:bookmarkStart w:id="33" w:name="_Toc18853"/>
      <w:r>
        <w:rPr>
          <w:rFonts w:hint="eastAsia"/>
          <w:szCs w:val="21"/>
        </w:rPr>
        <w:t>术语和定义</w:t>
      </w:r>
      <w:bookmarkEnd w:id="30"/>
      <w:bookmarkEnd w:id="31"/>
      <w:bookmarkEnd w:id="32"/>
      <w:bookmarkEnd w:id="33"/>
    </w:p>
    <w:bookmarkEnd w:id="2"/>
    <w:p w14:paraId="3A3BF7ED">
      <w:pPr>
        <w:pStyle w:val="63"/>
      </w:pPr>
      <w:bookmarkStart w:id="34" w:name="_Toc26986532"/>
      <w:bookmarkEnd w:id="34"/>
      <w:sdt>
        <w:sdtPr>
          <w:rPr>
            <w:rFonts w:hint="eastAsia"/>
          </w:rPr>
          <w:id w:val="-1909835108"/>
          <w:placeholder>
            <w:docPart w:val="8B8623DBB2C24B3899CB0B000E5C5DB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rPr>
        </w:sdtEndPr>
        <w:sdtContent>
          <w:r>
            <w:t>下列术语和定义适用于本文件。</w:t>
          </w:r>
        </w:sdtContent>
      </w:sdt>
    </w:p>
    <w:p w14:paraId="4B6D3D92">
      <w:pPr>
        <w:pStyle w:val="112"/>
        <w:spacing w:before="120" w:after="120"/>
      </w:pPr>
      <w:bookmarkStart w:id="35" w:name="_Toc7674"/>
      <w:bookmarkEnd w:id="35"/>
      <w:bookmarkStart w:id="36" w:name="_Toc25027"/>
      <w:bookmarkEnd w:id="36"/>
      <w:bookmarkStart w:id="37" w:name="_Toc18481"/>
      <w:bookmarkEnd w:id="37"/>
      <w:bookmarkStart w:id="38" w:name="_Toc9949"/>
      <w:bookmarkEnd w:id="38"/>
      <w:bookmarkStart w:id="39" w:name="_Toc25412"/>
      <w:bookmarkEnd w:id="39"/>
      <w:bookmarkStart w:id="40" w:name="_Toc13410"/>
      <w:bookmarkEnd w:id="40"/>
      <w:bookmarkStart w:id="41" w:name="_Toc5316"/>
      <w:bookmarkEnd w:id="41"/>
      <w:bookmarkStart w:id="42" w:name="_Toc11047"/>
      <w:bookmarkEnd w:id="42"/>
      <w:bookmarkStart w:id="43" w:name="_Toc31639"/>
      <w:bookmarkEnd w:id="43"/>
      <w:bookmarkStart w:id="44" w:name="_Toc18471"/>
      <w:bookmarkEnd w:id="44"/>
      <w:bookmarkStart w:id="45" w:name="_Toc1908"/>
      <w:bookmarkEnd w:id="45"/>
      <w:bookmarkStart w:id="46" w:name="_Toc11728"/>
      <w:bookmarkEnd w:id="46"/>
      <w:bookmarkStart w:id="47" w:name="_Toc25612"/>
      <w:bookmarkEnd w:id="47"/>
      <w:bookmarkStart w:id="48" w:name="_Toc26860"/>
      <w:bookmarkEnd w:id="48"/>
    </w:p>
    <w:p w14:paraId="38DFE66D">
      <w:pPr>
        <w:pStyle w:val="230"/>
        <w:keepNext w:val="0"/>
        <w:keepLines w:val="0"/>
        <w:pageBreakBefore w:val="0"/>
        <w:widowControl/>
        <w:numPr>
          <w:ilvl w:val="2"/>
          <w:numId w:val="0"/>
        </w:numPr>
        <w:kinsoku/>
        <w:wordWrap/>
        <w:overflowPunct/>
        <w:topLinePunct w:val="0"/>
        <w:autoSpaceDE/>
        <w:autoSpaceDN/>
        <w:bidi w:val="0"/>
        <w:adjustRightInd/>
        <w:snapToGrid/>
        <w:spacing w:before="157" w:beforeLines="50" w:after="157" w:afterLines="50"/>
        <w:ind w:firstLine="420" w:firstLineChars="200"/>
        <w:textAlignment w:val="auto"/>
        <w:rPr>
          <w:rFonts w:hint="eastAsia" w:ascii="Times New Roman" w:hAnsi="Times New Roman" w:eastAsia="黑体" w:cs="Times New Roman"/>
          <w:lang w:val="en-US" w:eastAsia="zh-CN"/>
        </w:rPr>
      </w:pPr>
      <w:r>
        <w:rPr>
          <w:rFonts w:hint="default" w:ascii="Times New Roman" w:hAnsi="Times New Roman" w:cs="Times New Roman"/>
        </w:rPr>
        <w:t>电力防护墩</w:t>
      </w:r>
      <w:r>
        <w:rPr>
          <w:rFonts w:hint="eastAsia" w:ascii="Times New Roman" w:hAnsi="Times New Roman" w:cs="Times New Roman"/>
          <w:lang w:val="en-US" w:eastAsia="zh-CN"/>
        </w:rPr>
        <w:t xml:space="preserve"> electric power protection pier</w:t>
      </w:r>
    </w:p>
    <w:p w14:paraId="5814A5D1">
      <w:pPr>
        <w:pStyle w:val="63"/>
        <w:rPr>
          <w:rFonts w:hint="eastAsia"/>
        </w:rPr>
      </w:pPr>
      <w:r>
        <w:rPr>
          <w:rFonts w:hint="eastAsia"/>
        </w:rPr>
        <w:t>设置于户外电力设施周边，采用混凝土、玻璃钢等材质预制或现浇成型，具备防撞、隔离、警示功能，可抵御车辆轻微撞击、人员误闯、外力磕碰，保障电力设备安全稳定运行的固定式防护构筑物。</w:t>
      </w:r>
    </w:p>
    <w:p w14:paraId="7BA95444">
      <w:pPr>
        <w:pStyle w:val="112"/>
        <w:spacing w:before="120" w:after="120"/>
        <w:rPr>
          <w:rFonts w:hint="eastAsia"/>
        </w:rPr>
      </w:pPr>
      <w:bookmarkStart w:id="49" w:name="_Toc9395"/>
      <w:bookmarkEnd w:id="49"/>
      <w:bookmarkStart w:id="50" w:name="_Toc21312"/>
      <w:bookmarkEnd w:id="50"/>
    </w:p>
    <w:p w14:paraId="7D57E2AB">
      <w:pPr>
        <w:pStyle w:val="230"/>
        <w:keepNext w:val="0"/>
        <w:keepLines w:val="0"/>
        <w:pageBreakBefore w:val="0"/>
        <w:widowControl/>
        <w:numPr>
          <w:ilvl w:val="2"/>
          <w:numId w:val="0"/>
        </w:numPr>
        <w:kinsoku/>
        <w:wordWrap/>
        <w:overflowPunct/>
        <w:topLinePunct w:val="0"/>
        <w:autoSpaceDE/>
        <w:autoSpaceDN/>
        <w:bidi w:val="0"/>
        <w:adjustRightInd/>
        <w:snapToGrid/>
        <w:spacing w:before="157" w:beforeLines="50" w:after="157" w:afterLines="50"/>
        <w:ind w:firstLine="420" w:firstLineChars="200"/>
        <w:textAlignment w:val="auto"/>
        <w:rPr>
          <w:rFonts w:hint="eastAsia" w:ascii="Times New Roman" w:hAnsi="Times New Roman" w:eastAsia="黑体" w:cs="Times New Roman"/>
          <w:lang w:val="en-US" w:eastAsia="zh-CN"/>
        </w:rPr>
      </w:pPr>
      <w:r>
        <w:rPr>
          <w:rFonts w:hint="eastAsia" w:ascii="Times New Roman" w:hAnsi="Times New Roman" w:cs="Times New Roman"/>
        </w:rPr>
        <w:t>额定防护高度</w:t>
      </w:r>
      <w:r>
        <w:rPr>
          <w:rFonts w:hint="eastAsia" w:ascii="Times New Roman" w:hAnsi="Times New Roman" w:cs="Times New Roman"/>
          <w:lang w:val="en-US" w:eastAsia="zh-CN"/>
        </w:rPr>
        <w:t xml:space="preserve"> rated protection height</w:t>
      </w:r>
    </w:p>
    <w:p w14:paraId="4EC3BC64">
      <w:pPr>
        <w:pStyle w:val="63"/>
        <w:rPr>
          <w:rFonts w:hint="eastAsia"/>
        </w:rPr>
      </w:pPr>
      <w:r>
        <w:rPr>
          <w:rFonts w:hint="eastAsia"/>
        </w:rPr>
        <w:t>防护墩安装完成后，地面以上的有效垂直高度，为核心防护尺寸参数，直接决定设备隔离防护等级。</w:t>
      </w:r>
    </w:p>
    <w:p w14:paraId="289DDF20">
      <w:pPr>
        <w:pStyle w:val="112"/>
        <w:spacing w:before="120" w:after="120"/>
        <w:rPr>
          <w:rFonts w:hint="eastAsia"/>
        </w:rPr>
      </w:pPr>
      <w:bookmarkStart w:id="51" w:name="_Toc7028"/>
      <w:bookmarkEnd w:id="51"/>
      <w:bookmarkStart w:id="52" w:name="_Toc25529"/>
      <w:bookmarkEnd w:id="52"/>
    </w:p>
    <w:p w14:paraId="3FE7024F">
      <w:pPr>
        <w:pStyle w:val="230"/>
        <w:keepNext w:val="0"/>
        <w:keepLines w:val="0"/>
        <w:pageBreakBefore w:val="0"/>
        <w:widowControl/>
        <w:numPr>
          <w:ilvl w:val="2"/>
          <w:numId w:val="0"/>
        </w:numPr>
        <w:kinsoku/>
        <w:wordWrap/>
        <w:overflowPunct/>
        <w:topLinePunct w:val="0"/>
        <w:autoSpaceDE/>
        <w:autoSpaceDN/>
        <w:bidi w:val="0"/>
        <w:adjustRightInd/>
        <w:snapToGrid/>
        <w:spacing w:before="157" w:beforeLines="50" w:after="157" w:afterLines="50"/>
        <w:ind w:firstLine="420" w:firstLineChars="200"/>
        <w:textAlignment w:val="auto"/>
        <w:rPr>
          <w:rFonts w:hint="eastAsia" w:ascii="Times New Roman" w:hAnsi="Times New Roman" w:eastAsia="黑体" w:cs="Times New Roman"/>
          <w:lang w:val="en-US" w:eastAsia="zh-CN"/>
        </w:rPr>
      </w:pPr>
      <w:r>
        <w:rPr>
          <w:rFonts w:hint="eastAsia" w:ascii="Times New Roman" w:hAnsi="Times New Roman" w:cs="Times New Roman"/>
        </w:rPr>
        <w:t>极限抗撞承载力</w:t>
      </w:r>
      <w:r>
        <w:rPr>
          <w:rFonts w:hint="eastAsia" w:ascii="Times New Roman" w:hAnsi="Times New Roman" w:cs="Times New Roman"/>
          <w:lang w:val="en-US" w:eastAsia="zh-CN"/>
        </w:rPr>
        <w:t xml:space="preserve"> ultimate impact resistance bearing capacity</w:t>
      </w:r>
    </w:p>
    <w:p w14:paraId="763B802A">
      <w:pPr>
        <w:pStyle w:val="63"/>
        <w:rPr>
          <w:rFonts w:hint="eastAsia"/>
        </w:rPr>
      </w:pPr>
      <w:r>
        <w:rPr>
          <w:rFonts w:hint="eastAsia"/>
        </w:rPr>
        <w:t>防护墩在标准试验条件下，可承受的最大水平撞击荷载，撞击后结构无开裂、无位移、无脱落的临界承载数值。</w:t>
      </w:r>
    </w:p>
    <w:p w14:paraId="3369FD78">
      <w:pPr>
        <w:pStyle w:val="112"/>
        <w:spacing w:before="120" w:after="120"/>
        <w:rPr>
          <w:rFonts w:hint="eastAsia"/>
        </w:rPr>
      </w:pPr>
      <w:bookmarkStart w:id="53" w:name="_Toc17156"/>
      <w:bookmarkEnd w:id="53"/>
      <w:bookmarkStart w:id="54" w:name="_Toc3106"/>
      <w:bookmarkEnd w:id="54"/>
    </w:p>
    <w:p w14:paraId="2D4FD60E">
      <w:pPr>
        <w:pStyle w:val="230"/>
        <w:keepNext w:val="0"/>
        <w:keepLines w:val="0"/>
        <w:pageBreakBefore w:val="0"/>
        <w:widowControl/>
        <w:numPr>
          <w:ilvl w:val="2"/>
          <w:numId w:val="0"/>
        </w:numPr>
        <w:kinsoku/>
        <w:wordWrap/>
        <w:overflowPunct/>
        <w:topLinePunct w:val="0"/>
        <w:autoSpaceDE/>
        <w:autoSpaceDN/>
        <w:bidi w:val="0"/>
        <w:adjustRightInd/>
        <w:snapToGrid/>
        <w:spacing w:before="157" w:beforeLines="50" w:after="157" w:afterLines="50"/>
        <w:ind w:firstLine="420" w:firstLineChars="200"/>
        <w:textAlignment w:val="auto"/>
        <w:rPr>
          <w:rFonts w:hint="eastAsia" w:ascii="Times New Roman" w:hAnsi="Times New Roman" w:eastAsia="黑体" w:cs="Times New Roman"/>
          <w:lang w:val="en-US" w:eastAsia="zh-CN"/>
        </w:rPr>
      </w:pPr>
      <w:r>
        <w:rPr>
          <w:rFonts w:hint="eastAsia" w:ascii="Times New Roman" w:hAnsi="Times New Roman" w:cs="Times New Roman"/>
        </w:rPr>
        <w:t>防护间距</w:t>
      </w:r>
      <w:r>
        <w:rPr>
          <w:rFonts w:hint="eastAsia" w:ascii="Times New Roman" w:hAnsi="Times New Roman" w:cs="Times New Roman"/>
          <w:lang w:val="en-US" w:eastAsia="zh-CN"/>
        </w:rPr>
        <w:t xml:space="preserve"> protection spacing</w:t>
      </w:r>
    </w:p>
    <w:p w14:paraId="059DD14E">
      <w:pPr>
        <w:pStyle w:val="63"/>
        <w:rPr>
          <w:rFonts w:hint="eastAsia"/>
        </w:rPr>
      </w:pPr>
      <w:r>
        <w:rPr>
          <w:rFonts w:hint="eastAsia"/>
        </w:rPr>
        <w:t>防护墩内侧边缘与电力设备外廓、杆塔基础外侧的最小水平净距，满足电力安全距离规范要求。</w:t>
      </w:r>
    </w:p>
    <w:p w14:paraId="21C00BE5">
      <w:pPr>
        <w:pStyle w:val="111"/>
        <w:spacing w:before="240" w:after="240"/>
        <w:rPr>
          <w:szCs w:val="21"/>
        </w:rPr>
      </w:pPr>
      <w:bookmarkStart w:id="55" w:name="_Toc1854"/>
      <w:bookmarkEnd w:id="55"/>
      <w:bookmarkStart w:id="56" w:name="_Toc14826"/>
      <w:bookmarkEnd w:id="56"/>
      <w:bookmarkStart w:id="57" w:name="_Toc23660"/>
      <w:bookmarkEnd w:id="57"/>
      <w:bookmarkStart w:id="58" w:name="_Toc23283"/>
      <w:bookmarkEnd w:id="58"/>
      <w:bookmarkStart w:id="59" w:name="_Toc15874"/>
      <w:bookmarkEnd w:id="59"/>
      <w:bookmarkStart w:id="60" w:name="_Toc23150"/>
      <w:bookmarkEnd w:id="60"/>
      <w:bookmarkStart w:id="61" w:name="_Toc15835"/>
      <w:bookmarkEnd w:id="61"/>
      <w:bookmarkStart w:id="62" w:name="_Toc28532"/>
      <w:bookmarkEnd w:id="62"/>
      <w:bookmarkStart w:id="63" w:name="_Toc17938"/>
      <w:bookmarkEnd w:id="63"/>
      <w:bookmarkStart w:id="64" w:name="_Toc18321"/>
      <w:bookmarkEnd w:id="64"/>
      <w:bookmarkStart w:id="65" w:name="_Toc10025"/>
      <w:bookmarkEnd w:id="65"/>
      <w:bookmarkStart w:id="66" w:name="_Toc11308"/>
      <w:bookmarkEnd w:id="66"/>
      <w:bookmarkStart w:id="67" w:name="_Toc12688"/>
      <w:bookmarkEnd w:id="67"/>
      <w:bookmarkStart w:id="68" w:name="_Toc15067"/>
      <w:bookmarkEnd w:id="68"/>
      <w:bookmarkStart w:id="69" w:name="_Toc16545"/>
      <w:bookmarkEnd w:id="69"/>
      <w:bookmarkStart w:id="70" w:name="_Toc30783"/>
      <w:bookmarkEnd w:id="70"/>
      <w:bookmarkStart w:id="71" w:name="_Toc18262"/>
      <w:bookmarkEnd w:id="71"/>
      <w:bookmarkStart w:id="72" w:name="_Toc27870"/>
      <w:r>
        <w:rPr>
          <w:rFonts w:hint="eastAsia"/>
          <w:szCs w:val="21"/>
          <w:lang w:val="en-US" w:eastAsia="zh-CN"/>
        </w:rPr>
        <w:t>分类与型号</w:t>
      </w:r>
      <w:bookmarkEnd w:id="72"/>
    </w:p>
    <w:p w14:paraId="5F951294">
      <w:pPr>
        <w:pStyle w:val="112"/>
        <w:spacing w:before="120" w:after="120"/>
      </w:pPr>
      <w:bookmarkStart w:id="73" w:name="_Toc18037"/>
      <w:r>
        <w:rPr>
          <w:rFonts w:hint="eastAsia"/>
        </w:rPr>
        <w:t>产品分类</w:t>
      </w:r>
      <w:bookmarkEnd w:id="73"/>
    </w:p>
    <w:p w14:paraId="18C530B4">
      <w:pPr>
        <w:pStyle w:val="63"/>
        <w:ind w:left="0" w:leftChars="0" w:firstLine="0" w:firstLineChars="0"/>
        <w:rPr>
          <w:rFonts w:hint="eastAsia"/>
        </w:rPr>
      </w:pPr>
      <w:r>
        <w:rPr>
          <w:rFonts w:hint="eastAsia"/>
        </w:rPr>
        <w:t>4.1.1 按材质分类</w:t>
      </w:r>
    </w:p>
    <w:p w14:paraId="2ED0BBD4">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rPr>
        <w:t>防护墩按材质</w:t>
      </w:r>
      <w:r>
        <w:rPr>
          <w:rFonts w:hint="eastAsia"/>
          <w:lang w:val="en-US" w:eastAsia="zh-CN"/>
        </w:rPr>
        <w:t>可分为：</w:t>
      </w:r>
    </w:p>
    <w:p w14:paraId="049DEA10">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a）钢筋混凝土防护墩：采用C30及以上强度等级混凝土、HRB400级钢筋预制浇筑成型，刚度大、稳定性强，适用于户外长期固定防护场景；</w:t>
      </w:r>
    </w:p>
    <w:p w14:paraId="41E39065">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b）玻璃钢防护墩：采用高强度玻璃钢材质模压成型，轻质绝缘、耐腐蚀，适用于高湿、盐雾、酸碱腐蚀环境的电力设施；</w:t>
      </w:r>
    </w:p>
    <w:p w14:paraId="42BDC2A6">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c）复合型防护墩：混凝土基底+玻璃钢外壳复合结构，兼顾结构稳定性与防腐绝缘性，适用于沿海、化工园区等特殊工况场景。</w:t>
      </w:r>
    </w:p>
    <w:p w14:paraId="02158180">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4.1.2 按结构形式分类</w:t>
      </w:r>
    </w:p>
    <w:p w14:paraId="6F86F0CA">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rPr>
        <w:t>防护墩按</w:t>
      </w:r>
      <w:r>
        <w:rPr>
          <w:rFonts w:hint="eastAsia"/>
          <w:lang w:val="en-US" w:eastAsia="zh-CN"/>
        </w:rPr>
        <w:t>结构形式可分为：</w:t>
      </w:r>
    </w:p>
    <w:p w14:paraId="69515987">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a）整体式防护墩：一体式浇筑/模压成型，无拼接缝隙，结构整体性好，防撞性能优异；</w:t>
      </w:r>
    </w:p>
    <w:p w14:paraId="5D8BC3B9">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b）组合式防护墩：两片式、多片式拼接结构，配套防盗连接螺栓，安装拆卸便捷，适配狭小作业空间。</w:t>
      </w:r>
    </w:p>
    <w:p w14:paraId="4FD97AC9">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4.1.3 按适用电压等级分类</w:t>
      </w:r>
    </w:p>
    <w:p w14:paraId="49C9B140">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rPr>
        <w:t>防护墩按</w:t>
      </w:r>
      <w:r>
        <w:rPr>
          <w:rFonts w:hint="eastAsia"/>
          <w:lang w:val="en-US" w:eastAsia="zh-CN"/>
        </w:rPr>
        <w:t>适用电压等级可分为：</w:t>
      </w:r>
    </w:p>
    <w:p w14:paraId="6783B8E9">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a）低压型：适配10kV及以下电力设施；</w:t>
      </w:r>
    </w:p>
    <w:p w14:paraId="090DFC0E">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b）中压型：适配35kV～110kV电力设施；</w:t>
      </w:r>
    </w:p>
    <w:p w14:paraId="64704399">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c）高压型：适配220kV电力设施。</w:t>
      </w:r>
    </w:p>
    <w:p w14:paraId="6B3939E8">
      <w:pPr>
        <w:pStyle w:val="112"/>
        <w:spacing w:before="120" w:after="120"/>
        <w:rPr>
          <w:rFonts w:hint="eastAsia"/>
          <w:lang w:val="en-US" w:eastAsia="zh-CN"/>
        </w:rPr>
      </w:pPr>
      <w:bookmarkStart w:id="74" w:name="_Toc26939"/>
      <w:r>
        <w:rPr>
          <w:rFonts w:hint="eastAsia"/>
          <w:lang w:val="en-US" w:eastAsia="zh-CN"/>
        </w:rPr>
        <w:t>型号编制</w:t>
      </w:r>
      <w:bookmarkEnd w:id="74"/>
    </w:p>
    <w:p w14:paraId="4C4F07B5">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防护墩型号编制规则如下：</w:t>
      </w:r>
    </w:p>
    <w:p w14:paraId="2D803559">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a）编制规则：FH-材质代码-电压等级代码-结构形式代码；</w:t>
      </w:r>
    </w:p>
    <w:p w14:paraId="1578EC43">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b）代码说明：H-混凝土、B-玻璃钢、FH-复合型；D-低压、Z-中压、G-高压；Z-整体式、ZHS-组合式；</w:t>
      </w:r>
    </w:p>
    <w:p w14:paraId="38B58FBA">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rPr>
      </w:pPr>
      <w:r>
        <w:rPr>
          <w:rFonts w:hint="eastAsia"/>
          <w:lang w:val="en-US" w:eastAsia="zh-CN"/>
        </w:rPr>
        <w:t>c）示例：FH-H-D-Z 表示混凝土材质、10kV低压、整体式电力防护墩。</w:t>
      </w:r>
    </w:p>
    <w:p w14:paraId="03702A97">
      <w:pPr>
        <w:pStyle w:val="111"/>
        <w:spacing w:before="240" w:after="240"/>
        <w:rPr>
          <w:szCs w:val="21"/>
        </w:rPr>
      </w:pPr>
      <w:bookmarkStart w:id="75" w:name="_Toc18806"/>
      <w:bookmarkStart w:id="76" w:name="_Toc14876"/>
      <w:r>
        <w:rPr>
          <w:rFonts w:hint="eastAsia"/>
          <w:szCs w:val="21"/>
          <w:lang w:val="en-US" w:eastAsia="zh-CN"/>
        </w:rPr>
        <w:t>技术要求</w:t>
      </w:r>
      <w:bookmarkEnd w:id="75"/>
    </w:p>
    <w:p w14:paraId="19598F16">
      <w:pPr>
        <w:pStyle w:val="112"/>
        <w:spacing w:before="120" w:after="120"/>
        <w:ind w:left="0" w:firstLine="0"/>
        <w:rPr>
          <w:lang w:val="en-US" w:eastAsia="zh-CN"/>
        </w:rPr>
      </w:pPr>
      <w:bookmarkStart w:id="77" w:name="_Toc2449"/>
      <w:r>
        <w:rPr>
          <w:rFonts w:hint="eastAsia"/>
          <w:lang w:val="en-US" w:eastAsia="zh-CN"/>
        </w:rPr>
        <w:t>通用要求</w:t>
      </w:r>
      <w:bookmarkEnd w:id="77"/>
    </w:p>
    <w:p w14:paraId="6BA8F30D">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5.1.1 防护墩设计、制作应符合GB/T 50010、DL/T 2160的相关规定，满足电力设施安全防护、防撞隔离、绝缘防腐的核心需求。</w:t>
      </w:r>
    </w:p>
    <w:p w14:paraId="58F348D9">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5.1.2 防护墩外观应平整光滑，无蜂窝、麻面、裂缝、掉角、气泡、破损等缺陷，表面色泽均匀，警示标识清晰牢固。</w:t>
      </w:r>
    </w:p>
    <w:p w14:paraId="7E315C8C">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5.1.3 所有外露金属连接件应采用热镀锌防腐处理或不锈钢材质，防腐等级不低于C3级，杜绝锈蚀脱落影响结构稳定性。</w:t>
      </w:r>
    </w:p>
    <w:p w14:paraId="724A90C8">
      <w:pPr>
        <w:pStyle w:val="112"/>
        <w:spacing w:before="120" w:after="120"/>
        <w:ind w:left="0" w:firstLine="0"/>
        <w:rPr>
          <w:rFonts w:hint="eastAsia"/>
          <w:lang w:val="en-US" w:eastAsia="zh-CN"/>
        </w:rPr>
      </w:pPr>
      <w:bookmarkStart w:id="78" w:name="_Toc14218"/>
      <w:r>
        <w:rPr>
          <w:rFonts w:hint="eastAsia"/>
          <w:lang w:val="en-US" w:eastAsia="zh-CN"/>
        </w:rPr>
        <w:t>尺寸偏差要求</w:t>
      </w:r>
      <w:bookmarkEnd w:id="78"/>
    </w:p>
    <w:p w14:paraId="30DD6811">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防护墩各规格尺寸应符合GB 50164的规定，具体偏差参数见表1。</w:t>
      </w:r>
    </w:p>
    <w:p w14:paraId="5B7397CC">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表1 电力防护墩尺寸允许偏差</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2"/>
        <w:gridCol w:w="5320"/>
      </w:tblGrid>
      <w:tr w14:paraId="446A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pct"/>
            <w:vAlign w:val="center"/>
          </w:tcPr>
          <w:p w14:paraId="0C0D0336">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检测项目</w:t>
            </w:r>
          </w:p>
        </w:tc>
        <w:tc>
          <w:tcPr>
            <w:tcW w:w="2847" w:type="pct"/>
            <w:vAlign w:val="center"/>
          </w:tcPr>
          <w:p w14:paraId="2E193ABA">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允许偏差（mm）</w:t>
            </w:r>
          </w:p>
        </w:tc>
      </w:tr>
      <w:tr w14:paraId="7FC7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pct"/>
            <w:vAlign w:val="center"/>
          </w:tcPr>
          <w:p w14:paraId="1FEE90EC">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防护高度</w:t>
            </w:r>
          </w:p>
        </w:tc>
        <w:tc>
          <w:tcPr>
            <w:tcW w:w="2847" w:type="pct"/>
            <w:vAlign w:val="center"/>
          </w:tcPr>
          <w:p w14:paraId="77880077">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±3</w:t>
            </w:r>
          </w:p>
        </w:tc>
      </w:tr>
      <w:tr w14:paraId="5AE2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pct"/>
            <w:vAlign w:val="center"/>
          </w:tcPr>
          <w:p w14:paraId="74F2D8EC">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顶面宽度</w:t>
            </w:r>
          </w:p>
        </w:tc>
        <w:tc>
          <w:tcPr>
            <w:tcW w:w="2847" w:type="pct"/>
            <w:vAlign w:val="center"/>
          </w:tcPr>
          <w:p w14:paraId="4DF50A67">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±2</w:t>
            </w:r>
          </w:p>
        </w:tc>
      </w:tr>
      <w:tr w14:paraId="343C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pct"/>
            <w:vAlign w:val="center"/>
          </w:tcPr>
          <w:p w14:paraId="6D0A0481">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基底厚度</w:t>
            </w:r>
          </w:p>
        </w:tc>
        <w:tc>
          <w:tcPr>
            <w:tcW w:w="2847" w:type="pct"/>
            <w:vAlign w:val="center"/>
          </w:tcPr>
          <w:p w14:paraId="2733E5F6">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±3</w:t>
            </w:r>
          </w:p>
        </w:tc>
      </w:tr>
      <w:tr w14:paraId="6537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pct"/>
            <w:vAlign w:val="center"/>
          </w:tcPr>
          <w:p w14:paraId="3FCE9A50">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侧面平整度</w:t>
            </w:r>
          </w:p>
        </w:tc>
        <w:tc>
          <w:tcPr>
            <w:tcW w:w="2847" w:type="pct"/>
            <w:vAlign w:val="center"/>
          </w:tcPr>
          <w:p w14:paraId="77787548">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≤2/m</w:t>
            </w:r>
          </w:p>
        </w:tc>
      </w:tr>
      <w:tr w14:paraId="0839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pct"/>
            <w:vAlign w:val="center"/>
          </w:tcPr>
          <w:p w14:paraId="5A7CCBE3">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垂直度</w:t>
            </w:r>
          </w:p>
        </w:tc>
        <w:tc>
          <w:tcPr>
            <w:tcW w:w="2847" w:type="pct"/>
            <w:vAlign w:val="center"/>
          </w:tcPr>
          <w:p w14:paraId="234FE4FF">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≤1.5/m</w:t>
            </w:r>
          </w:p>
        </w:tc>
      </w:tr>
    </w:tbl>
    <w:p w14:paraId="73052B1A">
      <w:pPr>
        <w:pStyle w:val="112"/>
        <w:spacing w:before="120" w:after="120"/>
        <w:ind w:left="0" w:firstLine="0"/>
        <w:rPr>
          <w:rFonts w:hint="eastAsia"/>
          <w:lang w:val="en-US" w:eastAsia="zh-CN"/>
        </w:rPr>
      </w:pPr>
      <w:bookmarkStart w:id="79" w:name="_Toc28847"/>
      <w:r>
        <w:rPr>
          <w:rFonts w:hint="eastAsia"/>
          <w:lang w:val="en-US" w:eastAsia="zh-CN"/>
        </w:rPr>
        <w:t>材质性能要求</w:t>
      </w:r>
      <w:bookmarkEnd w:id="79"/>
    </w:p>
    <w:p w14:paraId="202F2828">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5.3.1 钢筋混凝土防护墩</w:t>
      </w:r>
    </w:p>
    <w:p w14:paraId="780B571A">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28天标准抗压强度≥30MPa，内置钢筋主筋直径≥16mm，箍筋间距≤150mm，钢筋保护层厚度≥25mm。</w:t>
      </w:r>
    </w:p>
    <w:p w14:paraId="1D5101C9">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5.3.2 玻璃钢防护墩</w:t>
      </w:r>
    </w:p>
    <w:p w14:paraId="0F7C2DA5">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拉伸强度≥150MPa，弯曲强度≥200MPa，巴氏硬度≥40，绝缘电阻≥1000MΩ，10kV级工频耐压45kV/1min无击穿、无闪络。</w:t>
      </w:r>
    </w:p>
    <w:p w14:paraId="30485491">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5.3.3 复合型防护墩</w:t>
      </w:r>
    </w:p>
    <w:p w14:paraId="240B09A7">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基底混凝土性能符合5.3.1要求，外壳玻璃钢性能符合5.3.2要求，复合层粘结强度≥5MPa，无分层、脱壳现象。</w:t>
      </w:r>
    </w:p>
    <w:p w14:paraId="06A3FDA8">
      <w:pPr>
        <w:pStyle w:val="112"/>
        <w:spacing w:before="120" w:after="120"/>
        <w:ind w:left="0" w:firstLine="0"/>
        <w:rPr>
          <w:rFonts w:hint="eastAsia"/>
          <w:lang w:val="en-US" w:eastAsia="zh-CN"/>
        </w:rPr>
      </w:pPr>
      <w:bookmarkStart w:id="80" w:name="_Toc4673"/>
      <w:r>
        <w:rPr>
          <w:rFonts w:hint="eastAsia"/>
          <w:lang w:val="en-US" w:eastAsia="zh-CN"/>
        </w:rPr>
        <w:t>结构防护性能</w:t>
      </w:r>
      <w:bookmarkEnd w:id="80"/>
    </w:p>
    <w:p w14:paraId="1A7BDAF3">
      <w:pPr>
        <w:pStyle w:val="63"/>
        <w:ind w:left="0" w:leftChars="0" w:firstLine="0" w:firstLineChars="0"/>
        <w:rPr>
          <w:rFonts w:hint="eastAsia"/>
          <w:lang w:val="en-US" w:eastAsia="zh-CN"/>
        </w:rPr>
      </w:pPr>
      <w:r>
        <w:rPr>
          <w:rFonts w:hint="eastAsia"/>
          <w:lang w:val="en-US" w:eastAsia="zh-CN"/>
        </w:rPr>
        <w:t>5.4.1 抗撞击性</w:t>
      </w:r>
    </w:p>
    <w:p w14:paraId="370481A8">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整体式防护墩可承受≥8kN水平静态撞击荷载，组合式防护墩可承受≥6kN水平静态撞击荷载，加载5min后结构无开裂、无位移、无变形、连接件无松动。</w:t>
      </w:r>
    </w:p>
    <w:p w14:paraId="60B62041">
      <w:pPr>
        <w:pStyle w:val="63"/>
        <w:ind w:left="0" w:leftChars="0" w:firstLine="0" w:firstLineChars="0"/>
        <w:rPr>
          <w:rFonts w:hint="eastAsia"/>
          <w:lang w:val="en-US" w:eastAsia="zh-CN"/>
        </w:rPr>
      </w:pPr>
      <w:r>
        <w:rPr>
          <w:rFonts w:hint="eastAsia"/>
          <w:lang w:val="en-US" w:eastAsia="zh-CN"/>
        </w:rPr>
        <w:t>5.4.2 抗风稳定性</w:t>
      </w:r>
    </w:p>
    <w:p w14:paraId="1A25DA4A">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防护墩安装固定后，可抵御25m/s（10级风）风速，无倾覆、移位，适配户外露天工况。</w:t>
      </w:r>
    </w:p>
    <w:p w14:paraId="7E4C7655">
      <w:pPr>
        <w:pStyle w:val="63"/>
        <w:ind w:left="0" w:leftChars="0" w:firstLine="0" w:firstLineChars="0"/>
        <w:rPr>
          <w:rFonts w:hint="eastAsia"/>
          <w:lang w:val="en-US" w:eastAsia="zh-CN"/>
        </w:rPr>
      </w:pPr>
      <w:r>
        <w:rPr>
          <w:rFonts w:hint="eastAsia"/>
          <w:lang w:val="en-US" w:eastAsia="zh-CN"/>
        </w:rPr>
        <w:t>5.4.3 耐久性</w:t>
      </w:r>
    </w:p>
    <w:p w14:paraId="0AB4F67A">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正常户外工况下，混凝土防护墩设计使用寿命≥15年，玻璃钢、复合型防护墩设计使用寿命≥20年，耐高低温、耐雨水冲刷、耐紫外线老化。</w:t>
      </w:r>
    </w:p>
    <w:p w14:paraId="749B8A01">
      <w:pPr>
        <w:pStyle w:val="112"/>
        <w:spacing w:before="120" w:after="120"/>
        <w:ind w:left="0" w:firstLine="0"/>
        <w:rPr>
          <w:rFonts w:hint="eastAsia"/>
          <w:lang w:val="en-US" w:eastAsia="zh-CN"/>
        </w:rPr>
      </w:pPr>
      <w:bookmarkStart w:id="81" w:name="_Toc17400"/>
      <w:r>
        <w:rPr>
          <w:rFonts w:hint="eastAsia"/>
          <w:lang w:val="en-US" w:eastAsia="zh-CN"/>
        </w:rPr>
        <w:t>警示标识要求</w:t>
      </w:r>
      <w:bookmarkEnd w:id="81"/>
    </w:p>
    <w:p w14:paraId="06D22F2E">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5.5.1 防护墩正面、侧面应粘贴高强度反光电力警示标识，标识内容包含“高压危险、禁止靠近”字样及电力警示图标。</w:t>
      </w:r>
    </w:p>
    <w:p w14:paraId="25AF0187">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5.5.2 反光膜采用工程级高强反光材料，逆反射系数≥300cd/(lx·m²)，夜间可视距离≥50m，标识粘贴牢固，耐磨损、不褪色。</w:t>
      </w:r>
    </w:p>
    <w:p w14:paraId="1A632B8A">
      <w:pPr>
        <w:pStyle w:val="112"/>
        <w:spacing w:before="120" w:after="120"/>
        <w:ind w:left="0" w:firstLine="0"/>
        <w:rPr>
          <w:rFonts w:hint="eastAsia"/>
          <w:lang w:val="en-US" w:eastAsia="zh-CN"/>
        </w:rPr>
      </w:pPr>
      <w:bookmarkStart w:id="82" w:name="_Toc13114"/>
      <w:r>
        <w:rPr>
          <w:rFonts w:hint="eastAsia"/>
          <w:lang w:val="en-US" w:eastAsia="zh-CN"/>
        </w:rPr>
        <w:t>安全间距要求</w:t>
      </w:r>
      <w:bookmarkEnd w:id="82"/>
    </w:p>
    <w:p w14:paraId="157C03DF">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防护墩布置间距、与电力设备净距应符合GB 50053、GB/T 36291.1的规定，10kV设备防护净距≥0.8m，35kV～110kV设备防护净距≥1.2m，220kV设备防护净距≥1.5m；防护墩中心间距1.0m～1.2m，转角处加密布置。</w:t>
      </w:r>
    </w:p>
    <w:p w14:paraId="2069E222">
      <w:pPr>
        <w:pStyle w:val="111"/>
        <w:spacing w:before="240" w:after="240"/>
        <w:rPr>
          <w:rFonts w:hint="eastAsia"/>
          <w:szCs w:val="21"/>
          <w:lang w:val="en-US" w:eastAsia="zh-CN"/>
        </w:rPr>
      </w:pPr>
      <w:bookmarkStart w:id="83" w:name="_Toc16692"/>
      <w:r>
        <w:rPr>
          <w:rFonts w:hint="eastAsia"/>
          <w:szCs w:val="21"/>
          <w:lang w:val="en-US" w:eastAsia="zh-CN"/>
        </w:rPr>
        <w:t>试验方法</w:t>
      </w:r>
      <w:bookmarkEnd w:id="83"/>
    </w:p>
    <w:p w14:paraId="13520DEC">
      <w:pPr>
        <w:pStyle w:val="112"/>
        <w:spacing w:before="120" w:after="120"/>
        <w:ind w:left="0" w:firstLine="0"/>
        <w:rPr>
          <w:rFonts w:hint="eastAsia"/>
          <w:lang w:val="en-US" w:eastAsia="zh-CN"/>
        </w:rPr>
      </w:pPr>
      <w:bookmarkStart w:id="84" w:name="_Toc2360"/>
      <w:r>
        <w:rPr>
          <w:rFonts w:hint="eastAsia"/>
          <w:lang w:val="en-US" w:eastAsia="zh-CN"/>
        </w:rPr>
        <w:t>试验条件</w:t>
      </w:r>
      <w:bookmarkEnd w:id="84"/>
    </w:p>
    <w:p w14:paraId="0EAE0CB5">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试验环境温度为（23±2）℃，相对湿度（50±10）%，试验所用仪器设备经计量检定合格，在有效期内，试验试样为出厂合格成品，数量满足单项试验要求。</w:t>
      </w:r>
    </w:p>
    <w:p w14:paraId="38024E35">
      <w:pPr>
        <w:pStyle w:val="112"/>
        <w:spacing w:before="120" w:after="120"/>
        <w:ind w:left="0" w:firstLine="0"/>
        <w:rPr>
          <w:rFonts w:hint="eastAsia"/>
          <w:lang w:val="en-US" w:eastAsia="zh-CN"/>
        </w:rPr>
      </w:pPr>
      <w:bookmarkStart w:id="85" w:name="_Toc3015"/>
      <w:r>
        <w:rPr>
          <w:rFonts w:hint="eastAsia"/>
          <w:lang w:val="en-US" w:eastAsia="zh-CN"/>
        </w:rPr>
        <w:t>外观检测</w:t>
      </w:r>
      <w:bookmarkEnd w:id="85"/>
    </w:p>
    <w:p w14:paraId="744ED546">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采用目视法、手感检测，逐件检查防护墩表面平整度、完整性，核查有无裂缝、掉角、蜂窝、麻面、破损等缺陷，核查警示标识清晰度、牢固度，记录检测结果。</w:t>
      </w:r>
    </w:p>
    <w:p w14:paraId="4051B991">
      <w:pPr>
        <w:pStyle w:val="112"/>
        <w:spacing w:before="120" w:after="120"/>
        <w:ind w:left="0" w:firstLine="0"/>
        <w:rPr>
          <w:rFonts w:hint="eastAsia"/>
          <w:lang w:val="en-US" w:eastAsia="zh-CN"/>
        </w:rPr>
      </w:pPr>
      <w:bookmarkStart w:id="86" w:name="_Toc8950"/>
      <w:r>
        <w:rPr>
          <w:rFonts w:hint="eastAsia"/>
          <w:lang w:val="en-US" w:eastAsia="zh-CN"/>
        </w:rPr>
        <w:t>尺寸偏差检测</w:t>
      </w:r>
      <w:bookmarkEnd w:id="86"/>
    </w:p>
    <w:p w14:paraId="7912529D">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采用精度0.01mm游标卡尺、2m靠尺、垂直度检测仪，分别测量防护墩高度、宽度、厚度、平整度、垂直度，每个试样检测3组数据，取平均值。</w:t>
      </w:r>
    </w:p>
    <w:p w14:paraId="1F116F4B">
      <w:pPr>
        <w:pStyle w:val="112"/>
        <w:spacing w:before="120" w:after="120"/>
        <w:ind w:left="0" w:firstLine="0"/>
        <w:rPr>
          <w:rFonts w:hint="eastAsia"/>
          <w:lang w:val="en-US" w:eastAsia="zh-CN"/>
        </w:rPr>
      </w:pPr>
      <w:bookmarkStart w:id="87" w:name="_Toc13509"/>
      <w:r>
        <w:rPr>
          <w:rFonts w:hint="eastAsia"/>
          <w:lang w:val="en-US" w:eastAsia="zh-CN"/>
        </w:rPr>
        <w:t>材质性能试验</w:t>
      </w:r>
      <w:bookmarkEnd w:id="87"/>
    </w:p>
    <w:p w14:paraId="72275E34">
      <w:pPr>
        <w:pStyle w:val="63"/>
        <w:ind w:left="0" w:leftChars="0" w:firstLine="0" w:firstLineChars="0"/>
        <w:rPr>
          <w:rFonts w:hint="default"/>
          <w:lang w:val="en-US" w:eastAsia="zh-CN"/>
        </w:rPr>
      </w:pPr>
      <w:r>
        <w:rPr>
          <w:rFonts w:hint="eastAsia"/>
          <w:lang w:val="en-US" w:eastAsia="zh-CN"/>
        </w:rPr>
        <w:t>6.4.1 钢筋混凝土防护墩材质试验</w:t>
      </w:r>
    </w:p>
    <w:p w14:paraId="0B110A05">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按照GB/T 50081的规定执行，制作同批次混凝土标准试块（150mm×150mm×150mm），养护28d后进行抗压强度试验，检测混凝土强度是否满足C30等级要求。</w:t>
      </w:r>
    </w:p>
    <w:p w14:paraId="1ED0868E">
      <w:pPr>
        <w:pStyle w:val="63"/>
        <w:ind w:left="0" w:leftChars="0" w:firstLine="0" w:firstLineChars="0"/>
        <w:rPr>
          <w:rFonts w:hint="default"/>
          <w:lang w:val="en-US" w:eastAsia="zh-CN"/>
        </w:rPr>
      </w:pPr>
      <w:r>
        <w:rPr>
          <w:rFonts w:hint="eastAsia"/>
          <w:lang w:val="en-US" w:eastAsia="zh-CN"/>
        </w:rPr>
        <w:t>6.4.2 玻璃钢防护墩材质试验</w:t>
      </w:r>
    </w:p>
    <w:p w14:paraId="169C8565">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auto"/>
          <w:lang w:val="en-US" w:eastAsia="zh-CN"/>
        </w:rPr>
      </w:pPr>
      <w:r>
        <w:rPr>
          <w:rFonts w:hint="eastAsia"/>
          <w:color w:val="auto"/>
          <w:lang w:val="en-US" w:eastAsia="zh-CN"/>
        </w:rPr>
        <w:t>拉伸强度按GB/T 1447执行；弯曲强度按GB/T 1449执行；巴氏硬度按GB/T 3854执行；绝缘性能按DL/T 408执行。</w:t>
      </w:r>
    </w:p>
    <w:p w14:paraId="2E3B9C9C">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color w:val="auto"/>
          <w:lang w:val="en-US" w:eastAsia="zh-CN"/>
        </w:rPr>
      </w:pPr>
      <w:r>
        <w:rPr>
          <w:rFonts w:hint="default"/>
          <w:color w:val="auto"/>
          <w:lang w:val="en-US" w:eastAsia="zh-CN"/>
        </w:rPr>
        <w:t>6.</w:t>
      </w:r>
      <w:r>
        <w:rPr>
          <w:rFonts w:hint="eastAsia"/>
          <w:color w:val="auto"/>
          <w:lang w:val="en-US" w:eastAsia="zh-CN"/>
        </w:rPr>
        <w:t>4</w:t>
      </w:r>
      <w:r>
        <w:rPr>
          <w:rFonts w:hint="default"/>
          <w:color w:val="auto"/>
          <w:lang w:val="en-US" w:eastAsia="zh-CN"/>
        </w:rPr>
        <w:t>.3 复合型防护墩材质试验</w:t>
      </w:r>
    </w:p>
    <w:p w14:paraId="7D9C0107">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基底混凝土按6.3.1条执行；外壳玻璃钢按6.3.2条执行；复合层粘结采用粘结强度试验机测试，记录试验后有无界面分层、脱壳、剥离现象。</w:t>
      </w:r>
    </w:p>
    <w:p w14:paraId="5ACD71E2">
      <w:pPr>
        <w:pStyle w:val="112"/>
        <w:spacing w:before="120" w:after="120"/>
        <w:ind w:left="0" w:firstLine="0"/>
        <w:rPr>
          <w:rFonts w:hint="eastAsia"/>
          <w:lang w:val="en-US" w:eastAsia="zh-CN"/>
        </w:rPr>
      </w:pPr>
      <w:bookmarkStart w:id="88" w:name="_Toc7541"/>
      <w:r>
        <w:rPr>
          <w:rFonts w:hint="eastAsia"/>
          <w:lang w:val="en-US" w:eastAsia="zh-CN"/>
        </w:rPr>
        <w:t>结构防护性能试验</w:t>
      </w:r>
      <w:bookmarkEnd w:id="88"/>
    </w:p>
    <w:p w14:paraId="1BCD16E8">
      <w:pPr>
        <w:pStyle w:val="63"/>
        <w:ind w:left="0" w:leftChars="0" w:firstLine="0" w:firstLineChars="0"/>
        <w:rPr>
          <w:rFonts w:hint="eastAsia"/>
          <w:lang w:val="en-US" w:eastAsia="zh-CN"/>
        </w:rPr>
      </w:pPr>
      <w:r>
        <w:rPr>
          <w:rFonts w:hint="eastAsia"/>
          <w:lang w:val="en-US" w:eastAsia="zh-CN"/>
        </w:rPr>
        <w:t>6.5.1 抗撞击性能试验</w:t>
      </w:r>
    </w:p>
    <w:p w14:paraId="7F6DBE83">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采用水平静力加载试验机，对固定安装完成的防护墩水平居中位置缓慢加载，整体式试样加载至8kN、组合式试样加载至6kN，保压5min，观察结构是否出现开裂、位移、变形、连接件松动等缺陷。</w:t>
      </w:r>
    </w:p>
    <w:p w14:paraId="284D2F9A">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6.5.2 抗风稳定性试验</w:t>
      </w:r>
    </w:p>
    <w:p w14:paraId="3C26A72A">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采用风洞试验设备，模拟25m/s恒定风速，对安装固定的防护墩持续吹风30min，观察防护墩是否出现倾覆、移位、松动。</w:t>
      </w:r>
    </w:p>
    <w:p w14:paraId="46870DAC">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6.5.3 耐久性能试验</w:t>
      </w:r>
    </w:p>
    <w:p w14:paraId="28582853">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应按照以下方法进行：</w:t>
      </w:r>
    </w:p>
    <w:p w14:paraId="68BA64ED">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a）高低温：低温试验按GB/T 2423.1执行，高温试验按GB/T 2423.2执行；</w:t>
      </w:r>
    </w:p>
    <w:p w14:paraId="6B8A392D">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b）耐雨水冲刷：采用冷凝喷淋老化试验系统模拟自然降雨冲刷、潮湿腐蚀工况，设置喷淋温度50℃、持续喷淋冷凝4h为单次冲刷周期，与紫外老化工况交替循环进行，全程保持试样表面均匀受淋、无局部积水死角，记录试验后</w:t>
      </w:r>
      <w:r>
        <w:rPr>
          <w:rFonts w:hint="default"/>
          <w:color w:val="auto"/>
          <w:lang w:val="en-US" w:eastAsia="zh-CN"/>
        </w:rPr>
        <w:t>防护墩</w:t>
      </w:r>
      <w:r>
        <w:rPr>
          <w:rFonts w:hint="eastAsia"/>
          <w:color w:val="auto"/>
          <w:lang w:val="en-US" w:eastAsia="zh-CN"/>
        </w:rPr>
        <w:t>表面状态；</w:t>
      </w:r>
    </w:p>
    <w:p w14:paraId="37ABE4C8">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c）耐紫外老化：采用荧光紫外老化试验机开展紫外辐照试验，选用UVA-340紫外灯管，波长315nm～400nm，辐照强度0.89W/(m</w:t>
      </w:r>
      <w:r>
        <w:rPr>
          <w:rFonts w:hint="eastAsia"/>
          <w:vertAlign w:val="superscript"/>
          <w:lang w:val="en-US" w:eastAsia="zh-CN"/>
        </w:rPr>
        <w:t>2</w:t>
      </w:r>
      <w:r>
        <w:rPr>
          <w:rFonts w:hint="eastAsia"/>
          <w:lang w:val="en-US" w:eastAsia="zh-CN"/>
        </w:rPr>
        <w:t>·nm)，试验温度60℃，单次持续紫外照射4h，与雨水冲刷工况交替循环，经过累计1000h紫外老化试验后测试</w:t>
      </w:r>
      <w:r>
        <w:rPr>
          <w:rFonts w:hint="default"/>
          <w:color w:val="auto"/>
          <w:lang w:val="en-US" w:eastAsia="zh-CN"/>
        </w:rPr>
        <w:t>防护墩力学性能、绝缘性能</w:t>
      </w:r>
      <w:r>
        <w:rPr>
          <w:rFonts w:hint="eastAsia"/>
          <w:color w:val="auto"/>
          <w:lang w:val="en-US" w:eastAsia="zh-CN"/>
        </w:rPr>
        <w:t>。</w:t>
      </w:r>
    </w:p>
    <w:p w14:paraId="12397882">
      <w:pPr>
        <w:pStyle w:val="112"/>
        <w:spacing w:before="120" w:after="120"/>
        <w:ind w:left="0" w:firstLine="0"/>
        <w:rPr>
          <w:rFonts w:hint="eastAsia"/>
          <w:lang w:val="en-US" w:eastAsia="zh-CN"/>
        </w:rPr>
      </w:pPr>
      <w:bookmarkStart w:id="89" w:name="_Toc23675"/>
      <w:r>
        <w:rPr>
          <w:rFonts w:hint="eastAsia"/>
          <w:lang w:val="en-US" w:eastAsia="zh-CN"/>
        </w:rPr>
        <w:t>警示标识性能试验</w:t>
      </w:r>
      <w:bookmarkEnd w:id="89"/>
    </w:p>
    <w:p w14:paraId="1DC745E5">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采用逆反射系数检测仪，检测反光标识逆反射系数，同时进行耐磨试验（500次往复摩擦），记录试验后标识是否脱落、褪色。</w:t>
      </w:r>
    </w:p>
    <w:p w14:paraId="37FBCB99">
      <w:pPr>
        <w:pStyle w:val="112"/>
        <w:spacing w:before="120" w:after="120"/>
        <w:ind w:left="0" w:firstLine="0"/>
        <w:rPr>
          <w:rFonts w:hint="eastAsia"/>
          <w:lang w:val="en-US" w:eastAsia="zh-CN"/>
        </w:rPr>
      </w:pPr>
      <w:bookmarkStart w:id="90" w:name="_Toc31193"/>
      <w:r>
        <w:rPr>
          <w:rFonts w:hint="eastAsia"/>
          <w:lang w:val="en-US" w:eastAsia="zh-CN"/>
        </w:rPr>
        <w:t>安全间距核查</w:t>
      </w:r>
      <w:bookmarkEnd w:id="90"/>
    </w:p>
    <w:p w14:paraId="3A4F66FE">
      <w:pPr>
        <w:pStyle w:val="63"/>
        <w:rPr>
          <w:rFonts w:hint="eastAsia"/>
          <w:lang w:val="en-US" w:eastAsia="zh-CN"/>
        </w:rPr>
      </w:pPr>
      <w:r>
        <w:rPr>
          <w:rFonts w:hint="eastAsia"/>
          <w:lang w:val="en-US" w:eastAsia="zh-CN"/>
        </w:rPr>
        <w:t>按GB/T 36291.1的规定，采用卷尺实测核查防护墩布置参数。</w:t>
      </w:r>
    </w:p>
    <w:bookmarkEnd w:id="76"/>
    <w:p w14:paraId="1C9EDC98">
      <w:pPr>
        <w:numPr>
          <w:ilvl w:val="1"/>
          <w:numId w:val="2"/>
        </w:numPr>
        <w:spacing w:before="240" w:beforeLines="100" w:after="240" w:afterLines="100"/>
        <w:ind w:left="0" w:firstLine="0"/>
        <w:jc w:val="both"/>
        <w:outlineLvl w:val="0"/>
        <w:rPr>
          <w:rFonts w:hint="eastAsia" w:ascii="黑体" w:hAnsi="Times New Roman" w:eastAsia="黑体" w:cs="Times New Roman"/>
          <w:sz w:val="21"/>
          <w:lang w:val="en-US" w:eastAsia="zh-CN" w:bidi="ar-SA"/>
        </w:rPr>
      </w:pPr>
      <w:bookmarkStart w:id="91" w:name="_Toc10926"/>
      <w:bookmarkStart w:id="92" w:name="_Toc352"/>
      <w:r>
        <w:rPr>
          <w:rFonts w:hint="eastAsia" w:ascii="黑体" w:hAnsi="Times New Roman" w:eastAsia="黑体" w:cs="Times New Roman"/>
          <w:sz w:val="21"/>
          <w:lang w:val="en-US" w:eastAsia="zh-CN" w:bidi="ar-SA"/>
        </w:rPr>
        <w:t>检验规则</w:t>
      </w:r>
      <w:bookmarkEnd w:id="91"/>
      <w:bookmarkEnd w:id="92"/>
    </w:p>
    <w:p w14:paraId="37DF0770">
      <w:pPr>
        <w:numPr>
          <w:ilvl w:val="2"/>
          <w:numId w:val="2"/>
        </w:numPr>
        <w:spacing w:before="120" w:beforeLines="50" w:after="120" w:afterLines="50"/>
        <w:ind w:left="0" w:firstLine="0"/>
        <w:jc w:val="both"/>
        <w:outlineLvl w:val="1"/>
        <w:rPr>
          <w:rFonts w:hint="eastAsia" w:ascii="黑体" w:hAnsi="黑体" w:eastAsia="黑体" w:cs="Times New Roman"/>
          <w:b w:val="0"/>
          <w:bCs w:val="0"/>
          <w:sz w:val="21"/>
          <w:lang w:val="en-US" w:eastAsia="zh-CN" w:bidi="ar-SA"/>
        </w:rPr>
      </w:pPr>
      <w:bookmarkStart w:id="93" w:name="_Toc26414"/>
      <w:bookmarkStart w:id="94" w:name="_Toc13731"/>
      <w:bookmarkStart w:id="95" w:name="_Toc3006"/>
      <w:bookmarkStart w:id="96" w:name="_Toc21586"/>
      <w:bookmarkStart w:id="97" w:name="_Toc22366"/>
      <w:bookmarkStart w:id="98" w:name="_Toc21802"/>
      <w:bookmarkStart w:id="99" w:name="_Toc30045"/>
      <w:bookmarkStart w:id="100" w:name="_Toc30603"/>
      <w:bookmarkStart w:id="101" w:name="_Toc16145"/>
      <w:r>
        <w:rPr>
          <w:rFonts w:hint="eastAsia" w:ascii="黑体" w:hAnsi="黑体" w:eastAsia="黑体" w:cs="Times New Roman"/>
          <w:b w:val="0"/>
          <w:bCs w:val="0"/>
          <w:sz w:val="21"/>
          <w:lang w:val="en-US" w:eastAsia="zh-CN" w:bidi="ar-SA"/>
        </w:rPr>
        <w:t>检验分类</w:t>
      </w:r>
      <w:bookmarkEnd w:id="93"/>
      <w:bookmarkEnd w:id="94"/>
      <w:bookmarkEnd w:id="95"/>
      <w:bookmarkEnd w:id="96"/>
      <w:bookmarkEnd w:id="97"/>
      <w:bookmarkEnd w:id="98"/>
      <w:bookmarkEnd w:id="99"/>
      <w:bookmarkEnd w:id="100"/>
      <w:bookmarkEnd w:id="101"/>
    </w:p>
    <w:p w14:paraId="7AB31D0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本文件要求的检验分为出厂检验和型式检验两类。</w:t>
      </w:r>
    </w:p>
    <w:p w14:paraId="7A74BB38">
      <w:pPr>
        <w:numPr>
          <w:ilvl w:val="2"/>
          <w:numId w:val="2"/>
        </w:numPr>
        <w:spacing w:before="120" w:beforeLines="50" w:after="120" w:afterLines="50"/>
        <w:ind w:left="0" w:firstLine="0"/>
        <w:jc w:val="both"/>
        <w:outlineLvl w:val="1"/>
        <w:rPr>
          <w:rFonts w:hint="eastAsia" w:ascii="黑体" w:hAnsi="黑体" w:eastAsia="黑体" w:cs="Times New Roman"/>
          <w:b w:val="0"/>
          <w:bCs w:val="0"/>
          <w:sz w:val="21"/>
          <w:lang w:val="en-US" w:eastAsia="zh-CN" w:bidi="ar-SA"/>
        </w:rPr>
      </w:pPr>
      <w:bookmarkStart w:id="102" w:name="_Toc25862"/>
      <w:bookmarkStart w:id="103" w:name="_Toc23268"/>
      <w:bookmarkStart w:id="104" w:name="_Toc28274"/>
      <w:bookmarkStart w:id="105" w:name="_Toc4395"/>
      <w:bookmarkStart w:id="106" w:name="_Toc13736"/>
      <w:bookmarkStart w:id="107" w:name="_Toc645"/>
      <w:bookmarkStart w:id="108" w:name="_Toc28570"/>
      <w:r>
        <w:rPr>
          <w:rFonts w:hint="eastAsia" w:ascii="黑体" w:hAnsi="黑体" w:eastAsia="黑体" w:cs="Times New Roman"/>
          <w:b w:val="0"/>
          <w:bCs w:val="0"/>
          <w:sz w:val="21"/>
          <w:lang w:val="en-US" w:eastAsia="zh-CN" w:bidi="ar-SA"/>
        </w:rPr>
        <w:t>出厂检验</w:t>
      </w:r>
      <w:bookmarkEnd w:id="102"/>
      <w:bookmarkEnd w:id="103"/>
      <w:bookmarkEnd w:id="104"/>
      <w:bookmarkEnd w:id="105"/>
      <w:bookmarkEnd w:id="106"/>
      <w:bookmarkEnd w:id="107"/>
      <w:bookmarkEnd w:id="108"/>
    </w:p>
    <w:p w14:paraId="2E3CEE90">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出厂检验的项目应包括产品外观状态、结构尺寸偏差、警示标识完整性等关键指标，各项指标均满足本文件的要求时，方可被判定为合格产品；对于不合格的产品，应进行返工或报废处理。</w:t>
      </w:r>
    </w:p>
    <w:p w14:paraId="7DF2E999">
      <w:pPr>
        <w:numPr>
          <w:ilvl w:val="2"/>
          <w:numId w:val="2"/>
        </w:numPr>
        <w:spacing w:before="120" w:beforeLines="50" w:after="120" w:afterLines="50"/>
        <w:ind w:left="0" w:firstLine="0"/>
        <w:jc w:val="both"/>
        <w:outlineLvl w:val="1"/>
        <w:rPr>
          <w:rFonts w:hint="eastAsia" w:ascii="黑体" w:hAnsi="黑体" w:eastAsia="黑体" w:cs="Times New Roman"/>
          <w:b w:val="0"/>
          <w:bCs w:val="0"/>
          <w:sz w:val="21"/>
          <w:lang w:val="en-US" w:eastAsia="zh-CN" w:bidi="ar-SA"/>
        </w:rPr>
      </w:pPr>
      <w:bookmarkStart w:id="109" w:name="_Toc647"/>
      <w:bookmarkStart w:id="110" w:name="_Toc21049"/>
      <w:bookmarkStart w:id="111" w:name="_Toc26023"/>
      <w:bookmarkStart w:id="112" w:name="_Toc12774"/>
      <w:bookmarkStart w:id="113" w:name="_Toc10737"/>
      <w:bookmarkStart w:id="114" w:name="_Toc1955"/>
      <w:bookmarkStart w:id="115" w:name="_Toc14006"/>
      <w:bookmarkStart w:id="116" w:name="_Toc2313"/>
      <w:bookmarkStart w:id="117" w:name="_Toc11742"/>
      <w:bookmarkStart w:id="118" w:name="_Toc889"/>
      <w:bookmarkStart w:id="119" w:name="_Toc30059"/>
      <w:r>
        <w:rPr>
          <w:rFonts w:hint="eastAsia" w:ascii="黑体" w:hAnsi="黑体" w:eastAsia="黑体" w:cs="Times New Roman"/>
          <w:b w:val="0"/>
          <w:bCs w:val="0"/>
          <w:sz w:val="21"/>
          <w:lang w:val="en-US" w:eastAsia="zh-CN" w:bidi="ar-SA"/>
        </w:rPr>
        <w:t>型式检验</w:t>
      </w:r>
      <w:bookmarkEnd w:id="109"/>
      <w:bookmarkEnd w:id="110"/>
      <w:bookmarkEnd w:id="111"/>
      <w:bookmarkEnd w:id="112"/>
      <w:bookmarkEnd w:id="113"/>
      <w:bookmarkEnd w:id="114"/>
      <w:bookmarkEnd w:id="115"/>
      <w:bookmarkEnd w:id="116"/>
      <w:bookmarkEnd w:id="117"/>
    </w:p>
    <w:p w14:paraId="6D4F7DA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ascii="宋体" w:hAnsi="Times New Roman" w:eastAsia="宋体" w:cs="Times New Roman"/>
          <w:sz w:val="21"/>
          <w:lang w:val="en-US" w:eastAsia="zh-CN" w:bidi="ar-SA"/>
        </w:rPr>
      </w:pPr>
      <w:r>
        <w:rPr>
          <w:rFonts w:hint="eastAsia" w:ascii="宋体" w:hAnsi="Times New Roman" w:cs="Times New Roman"/>
          <w:sz w:val="21"/>
          <w:lang w:val="en-US" w:eastAsia="zh-CN" w:bidi="ar-SA"/>
        </w:rPr>
        <w:t>7</w:t>
      </w:r>
      <w:r>
        <w:rPr>
          <w:rFonts w:hint="eastAsia" w:ascii="宋体" w:hAnsi="Times New Roman" w:eastAsia="宋体" w:cs="Times New Roman"/>
          <w:sz w:val="21"/>
          <w:lang w:val="en-US" w:eastAsia="zh-CN" w:bidi="ar-SA"/>
        </w:rPr>
        <w:t>.3.1 检验时机</w:t>
      </w:r>
    </w:p>
    <w:p w14:paraId="2692D19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ascii="宋体" w:hAnsi="Times New Roman" w:eastAsia="宋体" w:cs="Times New Roman"/>
          <w:sz w:val="21"/>
          <w:lang w:val="en-US" w:eastAsia="zh-CN" w:bidi="ar-SA"/>
        </w:rPr>
      </w:pPr>
      <w:r>
        <w:rPr>
          <w:rFonts w:ascii="宋体" w:hAnsi="Times New Roman" w:eastAsia="宋体" w:cs="Times New Roman"/>
          <w:sz w:val="21"/>
          <w:lang w:val="en-US" w:eastAsia="zh-CN" w:bidi="ar-SA"/>
        </w:rPr>
        <w:t>有下列情形之一时，应进行型式检验：</w:t>
      </w:r>
    </w:p>
    <w:p w14:paraId="3717BFE1">
      <w:pPr>
        <w:keepNext w:val="0"/>
        <w:keepLines w:val="0"/>
        <w:pageBreakBefore w:val="0"/>
        <w:widowControl/>
        <w:kinsoku/>
        <w:wordWrap/>
        <w:overflowPunct/>
        <w:topLinePunct w:val="0"/>
        <w:autoSpaceDE w:val="0"/>
        <w:autoSpaceDN w:val="0"/>
        <w:bidi w:val="0"/>
        <w:adjustRightInd/>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a）新产品试制定型鉴定时；</w:t>
      </w:r>
    </w:p>
    <w:p w14:paraId="23CB46F3">
      <w:pPr>
        <w:keepNext w:val="0"/>
        <w:keepLines w:val="0"/>
        <w:pageBreakBefore w:val="0"/>
        <w:widowControl/>
        <w:kinsoku/>
        <w:wordWrap/>
        <w:overflowPunct/>
        <w:topLinePunct w:val="0"/>
        <w:autoSpaceDE w:val="0"/>
        <w:autoSpaceDN w:val="0"/>
        <w:bidi w:val="0"/>
        <w:adjustRightInd/>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b）设计、工艺或主要原材料有较大改变，可能影响产品性能；</w:t>
      </w:r>
    </w:p>
    <w:p w14:paraId="5FA6D347">
      <w:pPr>
        <w:keepNext w:val="0"/>
        <w:keepLines w:val="0"/>
        <w:pageBreakBefore w:val="0"/>
        <w:widowControl/>
        <w:kinsoku/>
        <w:wordWrap/>
        <w:overflowPunct/>
        <w:topLinePunct w:val="0"/>
        <w:autoSpaceDE w:val="0"/>
        <w:autoSpaceDN w:val="0"/>
        <w:bidi w:val="0"/>
        <w:adjustRightInd/>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c）正常生产满一年时；</w:t>
      </w:r>
    </w:p>
    <w:p w14:paraId="778201BF">
      <w:pPr>
        <w:keepNext w:val="0"/>
        <w:keepLines w:val="0"/>
        <w:pageBreakBefore w:val="0"/>
        <w:widowControl/>
        <w:kinsoku/>
        <w:wordWrap/>
        <w:overflowPunct/>
        <w:topLinePunct w:val="0"/>
        <w:autoSpaceDE w:val="0"/>
        <w:autoSpaceDN w:val="0"/>
        <w:bidi w:val="0"/>
        <w:adjustRightInd/>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d）间隔一年以上再生产时；</w:t>
      </w:r>
    </w:p>
    <w:p w14:paraId="4897BA50">
      <w:pPr>
        <w:keepNext w:val="0"/>
        <w:keepLines w:val="0"/>
        <w:pageBreakBefore w:val="0"/>
        <w:widowControl/>
        <w:kinsoku/>
        <w:wordWrap/>
        <w:overflowPunct/>
        <w:topLinePunct w:val="0"/>
        <w:autoSpaceDE w:val="0"/>
        <w:autoSpaceDN w:val="0"/>
        <w:bidi w:val="0"/>
        <w:adjustRightInd/>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e）出厂检验结果与同产品型号或批次的型式检验有较大差异时。</w:t>
      </w:r>
    </w:p>
    <w:p w14:paraId="794F2991">
      <w:pPr>
        <w:keepNext w:val="0"/>
        <w:keepLines w:val="0"/>
        <w:pageBreakBefore w:val="0"/>
        <w:kinsoku/>
        <w:wordWrap/>
        <w:overflowPunct/>
        <w:topLinePunct w:val="0"/>
        <w:autoSpaceDE w:val="0"/>
        <w:autoSpaceDN w:val="0"/>
        <w:bidi w:val="0"/>
        <w:snapToGrid/>
        <w:spacing w:line="240" w:lineRule="auto"/>
        <w:ind w:firstLine="0" w:firstLineChars="0"/>
        <w:jc w:val="both"/>
        <w:textAlignment w:val="auto"/>
        <w:rPr>
          <w:rFonts w:ascii="宋体" w:hAnsi="Times New Roman" w:eastAsia="宋体" w:cs="Times New Roman"/>
          <w:sz w:val="21"/>
          <w:lang w:val="en-US" w:eastAsia="zh-CN" w:bidi="ar-SA"/>
        </w:rPr>
      </w:pPr>
      <w:r>
        <w:rPr>
          <w:rFonts w:hint="eastAsia" w:ascii="宋体" w:hAnsi="Times New Roman" w:cs="Times New Roman"/>
          <w:sz w:val="21"/>
          <w:lang w:val="en-US" w:eastAsia="zh-CN" w:bidi="ar-SA"/>
        </w:rPr>
        <w:t>7</w:t>
      </w:r>
      <w:r>
        <w:rPr>
          <w:rFonts w:hint="eastAsia" w:ascii="宋体" w:hAnsi="Times New Roman" w:eastAsia="宋体" w:cs="Times New Roman"/>
          <w:sz w:val="21"/>
          <w:lang w:val="en-US" w:eastAsia="zh-CN" w:bidi="ar-SA"/>
        </w:rPr>
        <w:t>.3.2 检验项目</w:t>
      </w:r>
    </w:p>
    <w:p w14:paraId="3912A99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型式检验项目应包括本文件第</w:t>
      </w:r>
      <w:r>
        <w:rPr>
          <w:rFonts w:hint="eastAsia" w:ascii="宋体" w:hAnsi="Times New Roman" w:cs="Times New Roman"/>
          <w:sz w:val="21"/>
          <w:lang w:val="en-US" w:eastAsia="zh-CN" w:bidi="ar-SA"/>
        </w:rPr>
        <w:t>5</w:t>
      </w:r>
      <w:r>
        <w:rPr>
          <w:rFonts w:hint="eastAsia" w:ascii="宋体" w:hAnsi="Times New Roman" w:eastAsia="宋体" w:cs="Times New Roman"/>
          <w:sz w:val="21"/>
          <w:lang w:val="en-US" w:eastAsia="zh-CN" w:bidi="ar-SA"/>
        </w:rPr>
        <w:t>章规定的所有技术指标。</w:t>
      </w:r>
    </w:p>
    <w:p w14:paraId="0CCFA7AF">
      <w:pPr>
        <w:keepNext w:val="0"/>
        <w:keepLines w:val="0"/>
        <w:pageBreakBefore w:val="0"/>
        <w:kinsoku/>
        <w:wordWrap/>
        <w:overflowPunct/>
        <w:topLinePunct w:val="0"/>
        <w:autoSpaceDE w:val="0"/>
        <w:autoSpaceDN w:val="0"/>
        <w:bidi w:val="0"/>
        <w:snapToGrid/>
        <w:spacing w:line="240" w:lineRule="auto"/>
        <w:ind w:firstLine="0" w:firstLineChars="0"/>
        <w:jc w:val="both"/>
        <w:textAlignment w:val="auto"/>
        <w:rPr>
          <w:rFonts w:hint="eastAsia" w:ascii="宋体" w:hAnsi="Times New Roman" w:eastAsia="宋体" w:cs="Times New Roman"/>
          <w:sz w:val="21"/>
          <w:lang w:val="en-US" w:eastAsia="zh-CN" w:bidi="ar-SA"/>
        </w:rPr>
      </w:pPr>
      <w:r>
        <w:rPr>
          <w:rFonts w:hint="eastAsia" w:ascii="宋体" w:hAnsi="Times New Roman" w:cs="Times New Roman"/>
          <w:sz w:val="21"/>
          <w:lang w:val="en-US" w:eastAsia="zh-CN" w:bidi="ar-SA"/>
        </w:rPr>
        <w:t>7</w:t>
      </w:r>
      <w:r>
        <w:rPr>
          <w:rFonts w:hint="eastAsia" w:ascii="宋体" w:hAnsi="Times New Roman" w:eastAsia="宋体" w:cs="Times New Roman"/>
          <w:sz w:val="21"/>
          <w:lang w:val="en-US" w:eastAsia="zh-CN" w:bidi="ar-SA"/>
        </w:rPr>
        <w:t>.3.3 抽样规则</w:t>
      </w:r>
    </w:p>
    <w:p w14:paraId="5E54A75E">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宋体" w:hAnsi="Times New Roman" w:eastAsia="宋体" w:cs="Times New Roman"/>
          <w:sz w:val="21"/>
          <w:lang w:val="en-US" w:eastAsia="zh-CN" w:bidi="ar-SA"/>
        </w:rPr>
      </w:pPr>
      <w:r>
        <w:rPr>
          <w:rFonts w:hint="default" w:ascii="宋体" w:hAnsi="Times New Roman" w:eastAsia="宋体" w:cs="Times New Roman"/>
          <w:sz w:val="21"/>
          <w:lang w:val="en-US" w:eastAsia="zh-CN" w:bidi="ar-SA"/>
        </w:rPr>
        <w:t>抽样规则</w:t>
      </w:r>
      <w:r>
        <w:rPr>
          <w:rFonts w:hint="eastAsia" w:ascii="宋体" w:hAnsi="Times New Roman" w:eastAsia="宋体" w:cs="Times New Roman"/>
          <w:sz w:val="21"/>
          <w:lang w:val="en-US" w:eastAsia="zh-CN" w:bidi="ar-SA"/>
        </w:rPr>
        <w:t>应符合GB/T 2828.1的规定。</w:t>
      </w:r>
    </w:p>
    <w:p w14:paraId="43EDDCA5">
      <w:pPr>
        <w:keepNext w:val="0"/>
        <w:keepLines w:val="0"/>
        <w:pageBreakBefore w:val="0"/>
        <w:kinsoku/>
        <w:wordWrap/>
        <w:overflowPunct/>
        <w:topLinePunct w:val="0"/>
        <w:autoSpaceDE w:val="0"/>
        <w:autoSpaceDN w:val="0"/>
        <w:bidi w:val="0"/>
        <w:snapToGrid/>
        <w:spacing w:line="240" w:lineRule="auto"/>
        <w:ind w:firstLine="0" w:firstLineChars="0"/>
        <w:jc w:val="both"/>
        <w:textAlignment w:val="auto"/>
        <w:rPr>
          <w:rFonts w:hint="eastAsia" w:ascii="宋体" w:hAnsi="Times New Roman" w:eastAsia="宋体" w:cs="Times New Roman"/>
          <w:sz w:val="21"/>
          <w:lang w:val="en-US" w:eastAsia="zh-CN" w:bidi="ar-SA"/>
        </w:rPr>
      </w:pPr>
      <w:r>
        <w:rPr>
          <w:rFonts w:hint="eastAsia" w:ascii="宋体" w:hAnsi="Times New Roman" w:cs="Times New Roman"/>
          <w:sz w:val="21"/>
          <w:lang w:val="en-US" w:eastAsia="zh-CN" w:bidi="ar-SA"/>
        </w:rPr>
        <w:t>7</w:t>
      </w:r>
      <w:r>
        <w:rPr>
          <w:rFonts w:hint="eastAsia" w:ascii="宋体" w:hAnsi="Times New Roman" w:eastAsia="宋体" w:cs="Times New Roman"/>
          <w:sz w:val="21"/>
          <w:lang w:val="en-US" w:eastAsia="zh-CN" w:bidi="ar-SA"/>
        </w:rPr>
        <w:t>.3.4 判定规则及处理措施</w:t>
      </w:r>
    </w:p>
    <w:p w14:paraId="32FAFC3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所有检验项目均满足本文件的技术要求时，判定为合格；任一项不符合规定时，判定为不合格；对于不合格的产品，应进行返工或报废处理，返工产品应重新进行检验。</w:t>
      </w:r>
    </w:p>
    <w:bookmarkEnd w:id="118"/>
    <w:bookmarkEnd w:id="119"/>
    <w:p w14:paraId="006CC82D">
      <w:pPr>
        <w:numPr>
          <w:ilvl w:val="2"/>
          <w:numId w:val="2"/>
        </w:numPr>
        <w:spacing w:before="120" w:beforeLines="50" w:after="120" w:afterLines="50"/>
        <w:ind w:left="0" w:firstLine="0"/>
        <w:jc w:val="both"/>
        <w:outlineLvl w:val="1"/>
        <w:rPr>
          <w:rFonts w:hint="eastAsia" w:ascii="黑体" w:hAnsi="黑体" w:eastAsia="黑体" w:cs="Times New Roman"/>
          <w:b w:val="0"/>
          <w:bCs w:val="0"/>
          <w:sz w:val="21"/>
          <w:lang w:val="en-US" w:eastAsia="zh-CN" w:bidi="ar-SA"/>
        </w:rPr>
      </w:pPr>
      <w:bookmarkStart w:id="120" w:name="_Toc7470"/>
      <w:bookmarkStart w:id="121" w:name="_Toc11482"/>
      <w:bookmarkStart w:id="122" w:name="_Toc25505"/>
      <w:bookmarkStart w:id="123" w:name="_Toc4365"/>
      <w:bookmarkStart w:id="124" w:name="_Toc2234"/>
      <w:bookmarkStart w:id="125" w:name="_Toc14593"/>
      <w:bookmarkStart w:id="126" w:name="_Toc28912"/>
      <w:bookmarkStart w:id="127" w:name="_Toc307"/>
      <w:bookmarkStart w:id="128" w:name="_Toc7528"/>
      <w:r>
        <w:rPr>
          <w:rFonts w:hint="eastAsia" w:ascii="黑体" w:hAnsi="黑体" w:eastAsia="黑体" w:cs="Times New Roman"/>
          <w:b w:val="0"/>
          <w:bCs w:val="0"/>
          <w:sz w:val="21"/>
          <w:lang w:val="en-US" w:eastAsia="zh-CN" w:bidi="ar-SA"/>
        </w:rPr>
        <w:t>检验报告</w:t>
      </w:r>
      <w:bookmarkEnd w:id="120"/>
      <w:bookmarkEnd w:id="121"/>
      <w:bookmarkEnd w:id="122"/>
      <w:bookmarkEnd w:id="123"/>
      <w:bookmarkEnd w:id="124"/>
      <w:bookmarkEnd w:id="125"/>
      <w:bookmarkEnd w:id="126"/>
      <w:bookmarkEnd w:id="127"/>
      <w:bookmarkEnd w:id="128"/>
    </w:p>
    <w:p w14:paraId="76112C8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所有检验记录和报告应妥善存档，每次检验结束后应出具完整的检验报告，并包括下列内容：</w:t>
      </w:r>
    </w:p>
    <w:p w14:paraId="543030E8">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a）基本信息：产品名称、型号规格、生产批次、检验类别</w:t>
      </w:r>
      <w:r>
        <w:rPr>
          <w:rFonts w:hint="eastAsia" w:ascii="宋体" w:hAnsi="Times New Roman" w:cs="Times New Roman"/>
          <w:sz w:val="21"/>
          <w:lang w:val="en-US" w:eastAsia="zh-CN" w:bidi="ar-SA"/>
        </w:rPr>
        <w:t>、</w:t>
      </w:r>
      <w:r>
        <w:rPr>
          <w:rFonts w:hint="eastAsia" w:ascii="宋体" w:hAnsi="Times New Roman" w:eastAsia="宋体" w:cs="Times New Roman"/>
          <w:sz w:val="21"/>
          <w:lang w:val="en-US" w:eastAsia="zh-CN" w:bidi="ar-SA"/>
        </w:rPr>
        <w:t>检验日期、检验机构和参与人员等；</w:t>
      </w:r>
    </w:p>
    <w:p w14:paraId="0F1F57C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b）检验目的与检验依据；</w:t>
      </w:r>
    </w:p>
    <w:p w14:paraId="1776478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c）检验环境与检验设备清单等；</w:t>
      </w:r>
    </w:p>
    <w:p w14:paraId="6A958AD1">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d）检验方法与检验过程；</w:t>
      </w:r>
    </w:p>
    <w:p w14:paraId="3BE887B1">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e）检验数据：详细列出各项目的检测数据；</w:t>
      </w:r>
    </w:p>
    <w:p w14:paraId="5CBA0AE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eastAsia="宋体" w:cs="Times New Roman"/>
          <w:lang w:val="en-US" w:eastAsia="zh-CN"/>
        </w:rPr>
      </w:pPr>
      <w:r>
        <w:rPr>
          <w:rFonts w:hint="eastAsia" w:ascii="宋体" w:hAnsi="Times New Roman" w:eastAsia="宋体" w:cs="Times New Roman"/>
          <w:sz w:val="21"/>
          <w:lang w:val="en-US" w:eastAsia="zh-CN" w:bidi="ar-SA"/>
        </w:rPr>
        <w:t>f）检验结论：评估该批次产品是否合格。</w:t>
      </w:r>
    </w:p>
    <w:p w14:paraId="0488DF48">
      <w:pPr>
        <w:numPr>
          <w:ilvl w:val="1"/>
          <w:numId w:val="2"/>
        </w:numPr>
        <w:spacing w:before="240" w:beforeLines="100" w:after="240" w:afterLines="100"/>
        <w:ind w:left="0" w:firstLine="0"/>
        <w:jc w:val="both"/>
        <w:outlineLvl w:val="0"/>
        <w:rPr>
          <w:rFonts w:hint="eastAsia" w:ascii="黑体" w:hAnsi="Times New Roman" w:eastAsia="黑体" w:cs="Times New Roman"/>
          <w:sz w:val="21"/>
          <w:lang w:val="en-US" w:eastAsia="zh-CN" w:bidi="ar-SA"/>
        </w:rPr>
      </w:pPr>
      <w:bookmarkStart w:id="129" w:name="_Toc11125"/>
      <w:bookmarkStart w:id="130" w:name="_Toc16885"/>
      <w:r>
        <w:rPr>
          <w:rFonts w:hint="eastAsia" w:ascii="黑体" w:hAnsi="Times New Roman" w:eastAsia="黑体" w:cs="Times New Roman"/>
          <w:sz w:val="21"/>
          <w:lang w:val="en-US" w:eastAsia="zh-CN" w:bidi="ar-SA"/>
        </w:rPr>
        <w:t>标志、包装、运输和贮存</w:t>
      </w:r>
      <w:bookmarkEnd w:id="129"/>
      <w:bookmarkEnd w:id="130"/>
    </w:p>
    <w:p w14:paraId="7F711ED6">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131" w:name="_Toc820"/>
      <w:bookmarkStart w:id="132" w:name="_Toc5427"/>
      <w:bookmarkStart w:id="133" w:name="_Toc4818"/>
      <w:bookmarkStart w:id="134" w:name="_Toc25660"/>
      <w:bookmarkStart w:id="135" w:name="_Toc13108"/>
      <w:r>
        <w:rPr>
          <w:rFonts w:hint="eastAsia" w:ascii="黑体" w:hAnsi="黑体" w:eastAsia="黑体" w:cs="Times New Roman"/>
          <w:sz w:val="21"/>
          <w:lang w:val="en-US" w:eastAsia="zh-CN" w:bidi="ar-SA"/>
        </w:rPr>
        <w:t>标志</w:t>
      </w:r>
      <w:bookmarkEnd w:id="131"/>
      <w:bookmarkEnd w:id="132"/>
      <w:bookmarkEnd w:id="133"/>
      <w:bookmarkEnd w:id="134"/>
    </w:p>
    <w:p w14:paraId="31B9017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标志应满足下列要求：</w:t>
      </w:r>
    </w:p>
    <w:p w14:paraId="5B9F2BBC">
      <w:pPr>
        <w:keepNext w:val="0"/>
        <w:keepLines w:val="0"/>
        <w:pageBreakBefore w:val="0"/>
        <w:widowControl w:val="0"/>
        <w:numPr>
          <w:ilvl w:val="0"/>
          <w:numId w:val="32"/>
        </w:numPr>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所有标志应清晰、耐磨，符合GB/T 191的相关规定；</w:t>
      </w:r>
    </w:p>
    <w:p w14:paraId="0C7CDE44">
      <w:pPr>
        <w:keepNext w:val="0"/>
        <w:keepLines w:val="0"/>
        <w:pageBreakBefore w:val="0"/>
        <w:widowControl w:val="0"/>
        <w:numPr>
          <w:ilvl w:val="0"/>
          <w:numId w:val="32"/>
        </w:numPr>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标志内容应至少包括：产品名称、型号规格、材质类型、适用电压等级、执行标准号、生产单位名称、生产日期、设计使用年限、报废提示、高压安全警示说明。</w:t>
      </w:r>
    </w:p>
    <w:p w14:paraId="045DC0DD">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136" w:name="_Toc1651"/>
      <w:bookmarkStart w:id="137" w:name="_Toc6176"/>
      <w:bookmarkStart w:id="138" w:name="_Toc18243"/>
      <w:bookmarkStart w:id="139" w:name="_Toc20817"/>
      <w:r>
        <w:rPr>
          <w:rFonts w:hint="eastAsia" w:ascii="黑体" w:hAnsi="黑体" w:eastAsia="黑体" w:cs="Times New Roman"/>
          <w:sz w:val="21"/>
          <w:lang w:val="en-US" w:eastAsia="zh-CN" w:bidi="ar-SA"/>
        </w:rPr>
        <w:t>包装</w:t>
      </w:r>
      <w:bookmarkEnd w:id="136"/>
      <w:bookmarkEnd w:id="137"/>
      <w:bookmarkEnd w:id="138"/>
      <w:bookmarkEnd w:id="139"/>
    </w:p>
    <w:p w14:paraId="1BBC918A">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包装应满足下列要求：</w:t>
      </w:r>
    </w:p>
    <w:p w14:paraId="69F2B9EF">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a）单件产品采用泡沫缓冲材料</w:t>
      </w:r>
      <w:r>
        <w:rPr>
          <w:rFonts w:hint="eastAsia" w:ascii="宋体" w:hAnsi="Times New Roman" w:cs="Times New Roman"/>
          <w:sz w:val="21"/>
          <w:lang w:val="en-US" w:eastAsia="zh-CN" w:bidi="ar-SA"/>
        </w:rPr>
        <w:t>与</w:t>
      </w:r>
      <w:r>
        <w:rPr>
          <w:rFonts w:hint="eastAsia" w:ascii="宋体" w:hAnsi="Times New Roman" w:eastAsia="宋体" w:cs="Times New Roman"/>
          <w:sz w:val="21"/>
          <w:lang w:val="en-US" w:eastAsia="zh-CN" w:bidi="ar-SA"/>
        </w:rPr>
        <w:t>防水柔性材料独立封装，全面包裹边角及表面，避免运输、存放过程中磕碰破损、磨损、受潮霉变、老化变色；</w:t>
      </w:r>
    </w:p>
    <w:p w14:paraId="2C2817E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b）批量产品采用防潮、防震、防尘硬质外包装箱封装，整体密封性良好，可有效抵御外力挤压、雨水浸湿、粉尘附着，保障产品储运全过程完好；</w:t>
      </w:r>
    </w:p>
    <w:p w14:paraId="70907BC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c）包装箱外应标明产品的名称、规格、数量、净重及运输标志；</w:t>
      </w:r>
    </w:p>
    <w:p w14:paraId="71EA3DCA">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d）每箱附产品合格证、说明书。</w:t>
      </w:r>
    </w:p>
    <w:p w14:paraId="425151D0">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140" w:name="_Toc88"/>
      <w:bookmarkStart w:id="141" w:name="_Toc8872"/>
      <w:bookmarkStart w:id="142" w:name="_Toc21381"/>
      <w:bookmarkStart w:id="143" w:name="_Toc17225"/>
      <w:r>
        <w:rPr>
          <w:rFonts w:hint="eastAsia" w:ascii="黑体" w:hAnsi="黑体" w:eastAsia="黑体" w:cs="Times New Roman"/>
          <w:sz w:val="21"/>
          <w:lang w:val="en-US" w:eastAsia="zh-CN" w:bidi="ar-SA"/>
        </w:rPr>
        <w:t>运输</w:t>
      </w:r>
      <w:bookmarkEnd w:id="140"/>
      <w:bookmarkEnd w:id="141"/>
      <w:bookmarkEnd w:id="142"/>
      <w:bookmarkEnd w:id="143"/>
    </w:p>
    <w:p w14:paraId="44BC73E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运输应满足下列要求：</w:t>
      </w:r>
    </w:p>
    <w:p w14:paraId="24631D0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a）产品在运输过程中应防潮、防雨淋、防暴晒，避免与酸碱、油污、腐蚀性化学品、高温热源、尖锐硬物混装运输；</w:t>
      </w:r>
    </w:p>
    <w:p w14:paraId="34B4AB7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b）运输过程中应轻拿轻放，避免包装破损；</w:t>
      </w:r>
    </w:p>
    <w:p w14:paraId="53EB67BF">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c）运输车辆车厢应干燥、清洁、密封，无杂物、无腐蚀性污染物，产品分层规整码放，码放高度不超过1.5m，全程做好固定防护，防止运输颠簸造成移位、磕碰。</w:t>
      </w:r>
    </w:p>
    <w:p w14:paraId="3D25F92B">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144" w:name="_Toc13931"/>
      <w:bookmarkStart w:id="145" w:name="_Toc17369"/>
      <w:bookmarkStart w:id="146" w:name="_Toc363"/>
      <w:bookmarkStart w:id="147" w:name="_Toc25325"/>
      <w:r>
        <w:rPr>
          <w:rFonts w:hint="eastAsia" w:ascii="黑体" w:hAnsi="黑体" w:eastAsia="黑体" w:cs="Times New Roman"/>
          <w:sz w:val="21"/>
          <w:lang w:val="en-US" w:eastAsia="zh-CN" w:bidi="ar-SA"/>
        </w:rPr>
        <w:t>贮存</w:t>
      </w:r>
      <w:bookmarkEnd w:id="144"/>
      <w:bookmarkEnd w:id="145"/>
      <w:bookmarkEnd w:id="146"/>
      <w:bookmarkEnd w:id="147"/>
    </w:p>
    <w:p w14:paraId="74D4BC7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贮存应满足下列要求：</w:t>
      </w:r>
    </w:p>
    <w:p w14:paraId="277FDC31">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a）产品应贮存于阴凉干燥、通风洁净的库房中，贮存温度宜为-10℃～45℃，相对湿度不大于75%，远离热源、明火、腐蚀性介质，严禁与有毒、有害、腐蚀类物品混存；</w:t>
      </w:r>
    </w:p>
    <w:p w14:paraId="346CDB65">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b）产品应离地、离墙存放，底部铺垫柔性缓冲垫层，不同材质、不同规格产品分类分区堆放、标识清晰，堆放高度不超过1.2m，避免挤压变形、结构损伤；</w:t>
      </w:r>
    </w:p>
    <w:p w14:paraId="51B0D30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cs="Times New Roman"/>
          <w:sz w:val="21"/>
          <w:lang w:val="en-US" w:eastAsia="zh-CN" w:bidi="ar-SA"/>
        </w:rPr>
      </w:pPr>
      <w:r>
        <w:rPr>
          <w:rFonts w:hint="eastAsia" w:ascii="宋体" w:hAnsi="Times New Roman" w:eastAsia="宋体" w:cs="Times New Roman"/>
          <w:sz w:val="21"/>
          <w:lang w:val="en-US" w:eastAsia="zh-CN" w:bidi="ar-SA"/>
        </w:rPr>
        <w:t>c）库房定期巡检，定期清理场地，排查产品霉变、破损、老化、标识脱落等问题，及时清理不合格产品</w:t>
      </w:r>
      <w:r>
        <w:rPr>
          <w:rFonts w:hint="eastAsia" w:ascii="宋体" w:hAnsi="Times New Roman" w:cs="Times New Roman"/>
          <w:sz w:val="21"/>
          <w:lang w:val="en-US" w:eastAsia="zh-CN" w:bidi="ar-SA"/>
        </w:rPr>
        <w:t>；</w:t>
      </w:r>
    </w:p>
    <w:p w14:paraId="11B50F9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lang w:val="en-US" w:eastAsia="zh-CN"/>
        </w:rPr>
      </w:pPr>
      <w:r>
        <w:rPr>
          <w:rFonts w:hint="eastAsia" w:ascii="宋体" w:hAnsi="Times New Roman" w:cs="Times New Roman"/>
          <w:sz w:val="21"/>
          <w:lang w:val="en-US" w:eastAsia="zh-CN" w:bidi="ar-SA"/>
        </w:rPr>
        <w:t>d</w:t>
      </w:r>
      <w:r>
        <w:rPr>
          <w:rFonts w:hint="eastAsia" w:ascii="宋体" w:hAnsi="Times New Roman" w:eastAsia="宋体" w:cs="Times New Roman"/>
          <w:sz w:val="21"/>
          <w:lang w:val="en-US" w:eastAsia="zh-CN" w:bidi="ar-SA"/>
        </w:rPr>
        <w:t>）</w:t>
      </w:r>
      <w:r>
        <w:rPr>
          <w:rFonts w:hint="eastAsia"/>
          <w:lang w:val="en-US" w:eastAsia="zh-CN"/>
        </w:rPr>
        <w:t>未开封成品严禁长期露天暴晒、雨淋、积水浸泡，超贮存周期的产品需重新抽样复检，复检合格后方可投入使用，不合格产品予以报废处理。</w:t>
      </w:r>
    </w:p>
    <w:bookmarkEnd w:id="135"/>
    <w:p w14:paraId="306A1055">
      <w:pPr>
        <w:pStyle w:val="63"/>
        <w:ind w:left="0" w:leftChars="0" w:firstLine="0" w:firstLineChars="0"/>
      </w:pPr>
    </w:p>
    <w:p w14:paraId="0CC8D763">
      <w:pPr>
        <w:pStyle w:val="63"/>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41ABEBC">
      <w:pPr>
        <w:pStyle w:val="63"/>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68175F5B">
      <w:pPr>
        <w:pStyle w:val="63"/>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default"/>
          <w:lang w:val="en-US" w:eastAsia="zh-CN"/>
        </w:rPr>
      </w:pPr>
    </w:p>
    <w:p w14:paraId="5EFE3FE7">
      <w:pPr>
        <w:keepNext w:val="0"/>
        <w:keepLines w:val="0"/>
        <w:pageBreakBefore w:val="0"/>
        <w:kinsoku/>
        <w:wordWrap/>
        <w:overflowPunct/>
        <w:topLinePunct w:val="0"/>
        <w:bidi w:val="0"/>
        <w:snapToGrid/>
        <w:spacing w:before="58" w:line="45" w:lineRule="exact"/>
        <w:ind w:left="3165"/>
        <w:textAlignment w:val="auto"/>
        <w:outlineLvl w:val="9"/>
        <w:rPr>
          <w:rFonts w:hint="default" w:ascii="Times New Roman" w:hAnsi="Times New Roman" w:eastAsia="Times New Roman"/>
          <w:sz w:val="20"/>
          <w:szCs w:val="20"/>
          <w:lang w:val="en-US" w:eastAsia="zh-CN"/>
        </w:rPr>
      </w:pPr>
      <w:bookmarkStart w:id="148" w:name="_Toc16819"/>
      <w:bookmarkStart w:id="149" w:name="_Toc10181"/>
      <w:bookmarkStart w:id="150" w:name="_Toc215"/>
      <w:bookmarkStart w:id="151" w:name="_Toc25614"/>
      <w:r>
        <w:rPr>
          <w:rFonts w:ascii="Times New Roman" w:hAnsi="Times New Roman" w:eastAsia="Times New Roman"/>
          <w:b/>
          <w:bCs/>
          <w:spacing w:val="9"/>
          <w:position w:val="5"/>
          <w:sz w:val="20"/>
          <w:szCs w:val="20"/>
        </w:rPr>
        <w:t>_</w:t>
      </w:r>
      <w:r>
        <w:rPr>
          <w:rFonts w:ascii="Times New Roman" w:hAnsi="Times New Roman" w:eastAsia="Times New Roman"/>
          <w:b/>
          <w:bCs/>
          <w:spacing w:val="5"/>
          <w:position w:val="5"/>
          <w:sz w:val="20"/>
          <w:szCs w:val="20"/>
        </w:rPr>
        <w:t>______________________________</w:t>
      </w:r>
      <w:bookmarkEnd w:id="148"/>
      <w:bookmarkEnd w:id="149"/>
      <w:bookmarkEnd w:id="150"/>
      <w:bookmarkEnd w:id="151"/>
    </w:p>
    <w:sectPr>
      <w:footerReference r:id="rId11" w:type="default"/>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B94BC76-BA20-40E8-B175-5850E20824EB}"/>
  </w:font>
  <w:font w:name="Arial">
    <w:panose1 w:val="020B0604020202020204"/>
    <w:charset w:val="01"/>
    <w:family w:val="swiss"/>
    <w:pitch w:val="default"/>
    <w:sig w:usb0="E0002EFF" w:usb1="C000785B" w:usb2="00000009" w:usb3="00000000" w:csb0="400001FF" w:csb1="FFFF0000"/>
    <w:embedRegular r:id="rId2" w:fontKey="{6FBF1137-7AEE-4592-AFDD-0FEDC3AAC226}"/>
  </w:font>
  <w:font w:name="黑体">
    <w:panose1 w:val="02010609060101010101"/>
    <w:charset w:val="86"/>
    <w:family w:val="auto"/>
    <w:pitch w:val="default"/>
    <w:sig w:usb0="800002BF" w:usb1="38CF7CFA" w:usb2="00000016" w:usb3="00000000" w:csb0="00040001" w:csb1="00000000"/>
    <w:embedRegular r:id="rId3" w:fontKey="{44EEE1CE-D1B1-4CB8-8320-F082FFBF215C}"/>
  </w:font>
  <w:font w:name="Courier New">
    <w:panose1 w:val="02070309020205020404"/>
    <w:charset w:val="01"/>
    <w:family w:val="modern"/>
    <w:pitch w:val="default"/>
    <w:sig w:usb0="E0002EFF" w:usb1="C0007843" w:usb2="00000009" w:usb3="00000000" w:csb0="400001FF" w:csb1="FFFF0000"/>
    <w:embedRegular r:id="rId4" w:fontKey="{3527E9DE-3328-4835-A802-DC18293FEF3C}"/>
  </w:font>
  <w:font w:name="Symbol">
    <w:panose1 w:val="05050102010706020507"/>
    <w:charset w:val="02"/>
    <w:family w:val="roman"/>
    <w:pitch w:val="default"/>
    <w:sig w:usb0="00000000" w:usb1="00000000" w:usb2="00000000" w:usb3="00000000" w:csb0="80000000" w:csb1="00000000"/>
    <w:embedRegular r:id="rId5" w:fontKey="{A26AFF03-7919-40C3-AEB4-D29241966B9B}"/>
  </w:font>
  <w:font w:name="Calibri">
    <w:panose1 w:val="020F0502020204030204"/>
    <w:charset w:val="00"/>
    <w:family w:val="swiss"/>
    <w:pitch w:val="default"/>
    <w:sig w:usb0="E4002EFF" w:usb1="C000247B" w:usb2="00000009" w:usb3="00000000" w:csb0="200001FF" w:csb1="00000000"/>
    <w:embedRegular r:id="rId6" w:fontKey="{7A33AAE3-9FC4-44A0-8287-DC616F8071EA}"/>
  </w:font>
  <w:font w:name="等线">
    <w:panose1 w:val="02010600030101010101"/>
    <w:charset w:val="86"/>
    <w:family w:val="auto"/>
    <w:pitch w:val="default"/>
    <w:sig w:usb0="A00002BF" w:usb1="38CF7CFA" w:usb2="00000016" w:usb3="00000000" w:csb0="0004000F" w:csb1="00000000"/>
    <w:embedRegular r:id="rId7" w:fontKey="{8AA69140-33EE-4A06-B400-A559B69364EF}"/>
  </w:font>
  <w:font w:name="等线 Light">
    <w:panose1 w:val="02010600030101010101"/>
    <w:charset w:val="86"/>
    <w:family w:val="auto"/>
    <w:pitch w:val="default"/>
    <w:sig w:usb0="A00002BF" w:usb1="38CF7CFA" w:usb2="00000016" w:usb3="00000000" w:csb0="0004000F" w:csb1="00000000"/>
  </w:font>
  <w:font w:name="隶属">
    <w:altName w:val="宋体"/>
    <w:panose1 w:val="00000000000000000000"/>
    <w:charset w:val="00"/>
    <w:family w:val="auto"/>
    <w:pitch w:val="default"/>
    <w:sig w:usb0="00000000" w:usb1="00000000" w:usb2="00000000" w:usb3="00000000" w:csb0="00040001" w:csb1="00000000"/>
    <w:embedRegular r:id="rId8" w:fontKey="{5FBC2A27-B3AC-4E36-80B6-BD9A061285A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9" w:fontKey="{07D30F00-8E2A-4523-A95E-C30367ED44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E2E08">
    <w:pPr>
      <w:widowControl w:val="0"/>
      <w:tabs>
        <w:tab w:val="center" w:pos="4153"/>
        <w:tab w:val="right" w:pos="8306"/>
      </w:tabs>
      <w:snapToGrid w:val="0"/>
      <w:jc w:val="left"/>
      <w:rPr>
        <w:rFonts w:ascii="等线" w:hAnsi="等线" w:eastAsia="等线"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等线" w:hAnsi="等线" w:eastAsia="等线" w:cs="Times New Roman"/>
        <w:kern w:val="2"/>
        <w:sz w:val="21"/>
        <w:szCs w:val="22"/>
        <w:lang w:val="en-US" w:eastAsia="zh-CN" w:bidi="ar-SA"/>
      </w:rPr>
      <w:id w:val="-548138633"/>
      <w:docPartObj>
        <w:docPartGallery w:val="autotext"/>
      </w:docPartObj>
    </w:sdtPr>
    <w:sdtEndPr>
      <w:rPr>
        <w:rFonts w:ascii="等线" w:hAnsi="等线" w:eastAsia="等线" w:cs="Times New Roman"/>
        <w:kern w:val="2"/>
        <w:sz w:val="18"/>
        <w:szCs w:val="18"/>
        <w:lang w:val="en-US" w:eastAsia="zh-CN" w:bidi="ar-SA"/>
      </w:rPr>
    </w:sdtEndPr>
    <w:sdtContent>
      <w:p w14:paraId="21E1B7DD">
        <w:pPr>
          <w:framePr w:wrap="auto" w:vAnchor="text" w:hAnchor="margin" w:xAlign="center" w:y="1"/>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rFonts w:ascii="宋体" w:hAnsi="Times New Roman" w:eastAsia="宋体" w:cs="宋体"/>
            <w:kern w:val="2"/>
            <w:sz w:val="18"/>
            <w:szCs w:val="18"/>
            <w:lang w:val="en-US" w:eastAsia="zh-CN" w:bidi="ar-SA"/>
          </w:rPr>
          <w:fldChar w:fldCharType="begin"/>
        </w:r>
        <w:r>
          <w:rPr>
            <w:rFonts w:ascii="宋体" w:hAnsi="Times New Roman" w:eastAsia="宋体" w:cs="宋体"/>
            <w:kern w:val="2"/>
            <w:sz w:val="18"/>
            <w:szCs w:val="18"/>
            <w:lang w:val="en-US" w:eastAsia="zh-CN" w:bidi="ar-SA"/>
          </w:rPr>
          <w:instrText xml:space="preserve"> PAGE </w:instrText>
        </w:r>
        <w:r>
          <w:rPr>
            <w:rFonts w:ascii="宋体" w:hAnsi="Times New Roman" w:eastAsia="宋体" w:cs="宋体"/>
            <w:kern w:val="2"/>
            <w:sz w:val="18"/>
            <w:szCs w:val="18"/>
            <w:lang w:val="en-US" w:eastAsia="zh-CN" w:bidi="ar-SA"/>
          </w:rPr>
          <w:fldChar w:fldCharType="end"/>
        </w:r>
      </w:p>
    </w:sdtContent>
  </w:sdt>
  <w:p w14:paraId="4A321105">
    <w:pPr>
      <w:widowControl w:val="0"/>
      <w:tabs>
        <w:tab w:val="center" w:pos="4153"/>
        <w:tab w:val="right" w:pos="8306"/>
      </w:tabs>
      <w:snapToGrid w:val="0"/>
      <w:jc w:val="left"/>
      <w:rPr>
        <w:rFonts w:ascii="等线" w:hAnsi="等线" w:eastAsia="等线"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5E298">
    <w:pPr>
      <w:widowControl w:val="0"/>
      <w:tabs>
        <w:tab w:val="center" w:pos="4153"/>
        <w:tab w:val="right" w:pos="8306"/>
      </w:tabs>
      <w:snapToGrid w:val="0"/>
      <w:jc w:val="left"/>
      <w:rPr>
        <w:rFonts w:ascii="等线" w:hAnsi="等线" w:eastAsia="等线" w:cs="Times New Roman"/>
        <w:kern w:val="2"/>
        <w:sz w:val="18"/>
        <w:szCs w:val="18"/>
        <w:lang w:val="en-US" w:eastAsia="zh-CN" w:bidi="ar-SA"/>
      </w:rPr>
    </w:pPr>
    <w:sdt>
      <w:sdtPr>
        <w:rPr>
          <w:rFonts w:ascii="等线" w:hAnsi="等线" w:eastAsia="等线" w:cs="Times New Roman"/>
          <w:kern w:val="2"/>
          <w:sz w:val="21"/>
          <w:szCs w:val="22"/>
          <w:lang w:val="en-US" w:eastAsia="zh-CN" w:bidi="ar-SA"/>
        </w:rPr>
        <w:id w:val="1458601550"/>
        <w:docPartObj>
          <w:docPartGallery w:val="autotext"/>
        </w:docPartObj>
      </w:sdtPr>
      <w:sdtEndPr>
        <w:rPr>
          <w:rFonts w:ascii="等线" w:hAnsi="等线" w:eastAsia="等线" w:cs="Times New Roman"/>
          <w:kern w:val="2"/>
          <w:sz w:val="18"/>
          <w:szCs w:val="18"/>
          <w:lang w:val="en-US" w:eastAsia="zh-CN" w:bidi="ar-SA"/>
        </w:rPr>
      </w:sdtEnd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29A7B">
    <w:pPr>
      <w:pStyle w:val="59"/>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4030C">
                          <w:pPr>
                            <w:pStyle w:val="59"/>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864030C">
                    <w:pPr>
                      <w:pStyle w:val="59"/>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F0D0C">
    <w:pPr>
      <w:pStyle w:val="59"/>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8BCAF">
                          <w:pPr>
                            <w:pStyle w:val="59"/>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338BCAF">
                    <w:pPr>
                      <w:pStyle w:val="59"/>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D29DD">
    <w:pPr>
      <w:pStyle w:val="68"/>
      <w:wordWrap w:val="0"/>
      <w:rPr>
        <w:rFonts w:hint="default" w:eastAsia="黑体"/>
        <w:lang w:val="en-US" w:eastAsia="zh-CN"/>
      </w:rPr>
    </w:pPr>
    <w:r>
      <w:rPr>
        <w:rFonts w:hint="eastAsia"/>
        <w:lang w:val="en-US" w:eastAsia="zh-CN"/>
      </w:rPr>
      <w:t>T/CI 351-2024</w:t>
    </w:r>
  </w:p>
  <w:p w14:paraId="5C843251">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B8EF4">
    <w:pPr>
      <w:pStyle w:val="21"/>
      <w:jc w:val="right"/>
      <w:rPr>
        <w:rFonts w:hint="eastAsia" w:eastAsia="宋体"/>
        <w:lang w:val="en-US" w:eastAsia="zh-CN"/>
      </w:rPr>
    </w:pPr>
    <w:r>
      <w:rPr>
        <w:rFonts w:hint="eastAsia" w:ascii="黑体" w:hAnsi="黑体" w:eastAsia="黑体" w:cs="黑体"/>
        <w:sz w:val="21"/>
        <w:szCs w:val="21"/>
      </w:rPr>
      <w:t>T/CWDPA XXX—202</w:t>
    </w:r>
    <w:r>
      <w:rPr>
        <w:rFonts w:hint="eastAsia" w:ascii="黑体" w:hAnsi="黑体" w:eastAsia="黑体" w:cs="黑体"/>
        <w:sz w:val="21"/>
        <w:szCs w:val="21"/>
        <w:lang w:val="en-US" w:eastAsia="zh-CN"/>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53FBA"/>
    <w:multiLevelType w:val="multilevel"/>
    <w:tmpl w:val="AE653FBA"/>
    <w:lvl w:ilvl="0" w:tentative="0">
      <w:start w:val="1"/>
      <w:numFmt w:val="upperLetter"/>
      <w:pStyle w:val="205"/>
      <w:lvlText w:val="%1"/>
      <w:lvlJc w:val="left"/>
      <w:pPr>
        <w:ind w:left="420" w:hanging="420"/>
      </w:pPr>
      <w:rPr>
        <w:rFonts w:hint="eastAsia"/>
      </w:rPr>
    </w:lvl>
    <w:lvl w:ilvl="1" w:tentative="0">
      <w:start w:val="1"/>
      <w:numFmt w:val="decimal"/>
      <w:pStyle w:val="90"/>
      <w:suff w:val="space"/>
      <w:lvlText w:val="图%1.%2　"/>
      <w:lvlJc w:val="center"/>
      <w:pPr>
        <w:tabs>
          <w:tab w:val="left" w:pos="0"/>
        </w:tabs>
        <w:ind w:left="0" w:firstLine="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8DC53E9"/>
    <w:multiLevelType w:val="singleLevel"/>
    <w:tmpl w:val="F8DC53E9"/>
    <w:lvl w:ilvl="0" w:tentative="0">
      <w:start w:val="1"/>
      <w:numFmt w:val="lowerLetter"/>
      <w:suff w:val="nothing"/>
      <w:lvlText w:val="%1）"/>
      <w:lvlJc w:val="left"/>
    </w:lvl>
  </w:abstractNum>
  <w:abstractNum w:abstractNumId="2">
    <w:nsid w:val="02837933"/>
    <w:multiLevelType w:val="multilevel"/>
    <w:tmpl w:val="02837933"/>
    <w:lvl w:ilvl="0" w:tentative="0">
      <w:start w:val="1"/>
      <w:numFmt w:val="decimal"/>
      <w:pStyle w:val="71"/>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3">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6"/>
      <w:suff w:val="nothing"/>
      <w:lvlText w:val="%1%2.%3　"/>
      <w:lvlJc w:val="left"/>
      <w:pPr>
        <w:ind w:left="0" w:firstLine="0"/>
      </w:pPr>
    </w:lvl>
    <w:lvl w:ilvl="3" w:tentative="0">
      <w:start w:val="1"/>
      <w:numFmt w:val="decimal"/>
      <w:pStyle w:val="125"/>
      <w:suff w:val="nothing"/>
      <w:lvlText w:val="%1%2.%3.%4　"/>
      <w:lvlJc w:val="left"/>
      <w:pPr>
        <w:ind w:left="0" w:firstLine="0"/>
      </w:pPr>
    </w:lvl>
    <w:lvl w:ilvl="4" w:tentative="0">
      <w:start w:val="1"/>
      <w:numFmt w:val="decimal"/>
      <w:pStyle w:val="160"/>
      <w:suff w:val="nothing"/>
      <w:lvlText w:val="%1%2.%3.%4.%5　"/>
      <w:lvlJc w:val="left"/>
      <w:pPr>
        <w:ind w:left="0" w:firstLine="0"/>
      </w:pPr>
    </w:lvl>
    <w:lvl w:ilvl="5" w:tentative="0">
      <w:start w:val="1"/>
      <w:numFmt w:val="decimal"/>
      <w:pStyle w:val="162"/>
      <w:suff w:val="nothing"/>
      <w:lvlText w:val="%1%2.%3.%4.%5.%6　"/>
      <w:lvlJc w:val="left"/>
      <w:pPr>
        <w:ind w:left="0" w:firstLine="0"/>
      </w:pPr>
    </w:lvl>
    <w:lvl w:ilvl="6" w:tentative="0">
      <w:start w:val="1"/>
      <w:numFmt w:val="decimal"/>
      <w:pStyle w:val="165"/>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079102AD"/>
    <w:multiLevelType w:val="multilevel"/>
    <w:tmpl w:val="079102AD"/>
    <w:lvl w:ilvl="0" w:tentative="0">
      <w:start w:val="1"/>
      <w:numFmt w:val="decimal"/>
      <w:pStyle w:val="187"/>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5">
    <w:nsid w:val="07ED3FEA"/>
    <w:multiLevelType w:val="multilevel"/>
    <w:tmpl w:val="07ED3FEA"/>
    <w:lvl w:ilvl="0" w:tentative="0">
      <w:start w:val="1"/>
      <w:numFmt w:val="none"/>
      <w:pStyle w:val="96"/>
      <w:lvlText w:val="%1"/>
      <w:lvlJc w:val="left"/>
      <w:pPr>
        <w:ind w:left="425" w:hanging="425"/>
      </w:pPr>
      <w:rPr>
        <w:rFonts w:hint="eastAsia"/>
      </w:rPr>
    </w:lvl>
    <w:lvl w:ilvl="1" w:tentative="0">
      <w:start w:val="1"/>
      <w:numFmt w:val="decimal"/>
      <w:pStyle w:val="207"/>
      <w:suff w:val="nothing"/>
      <w:lvlText w:val="%10.%2 "/>
      <w:lvlJc w:val="left"/>
      <w:pPr>
        <w:ind w:left="0" w:firstLine="0"/>
      </w:pPr>
      <w:rPr>
        <w:rFonts w:hint="eastAsia" w:ascii="黑体" w:eastAsia="黑体" w:hAnsiTheme="minorHAnsi"/>
        <w:b w:val="0"/>
        <w:i w:val="0"/>
        <w:sz w:val="21"/>
      </w:rPr>
    </w:lvl>
    <w:lvl w:ilvl="2" w:tentative="0">
      <w:start w:val="1"/>
      <w:numFmt w:val="decimal"/>
      <w:pStyle w:val="208"/>
      <w:suff w:val="nothing"/>
      <w:lvlText w:val="%10.%2.%3 "/>
      <w:lvlJc w:val="left"/>
      <w:pPr>
        <w:ind w:left="0" w:firstLine="0"/>
      </w:pPr>
      <w:rPr>
        <w:rFonts w:hint="eastAsia" w:ascii="黑体" w:eastAsia="黑体" w:hAnsiTheme="minorHAnsi"/>
        <w:b w:val="0"/>
        <w:i w:val="0"/>
        <w:sz w:val="21"/>
      </w:rPr>
    </w:lvl>
    <w:lvl w:ilvl="3" w:tentative="0">
      <w:start w:val="1"/>
      <w:numFmt w:val="decimal"/>
      <w:pStyle w:val="209"/>
      <w:suff w:val="nothing"/>
      <w:lvlText w:val="%10.%2.%3.%4 "/>
      <w:lvlJc w:val="left"/>
      <w:pPr>
        <w:ind w:left="0" w:firstLine="0"/>
      </w:pPr>
      <w:rPr>
        <w:rFonts w:hint="eastAsia" w:ascii="黑体" w:eastAsia="黑体" w:hAnsiTheme="minorHAnsi"/>
        <w:b w:val="0"/>
        <w:i w:val="0"/>
        <w:sz w:val="21"/>
      </w:rPr>
    </w:lvl>
    <w:lvl w:ilvl="4" w:tentative="0">
      <w:start w:val="1"/>
      <w:numFmt w:val="decimal"/>
      <w:pStyle w:val="210"/>
      <w:suff w:val="nothing"/>
      <w:lvlText w:val="%10.%2.%3.%4.%5 "/>
      <w:lvlJc w:val="left"/>
      <w:pPr>
        <w:ind w:left="0" w:firstLine="0"/>
      </w:pPr>
      <w:rPr>
        <w:rFonts w:hint="eastAsia" w:ascii="黑体" w:eastAsia="黑体" w:hAnsiTheme="minorHAnsi"/>
        <w:b w:val="0"/>
        <w:i w:val="0"/>
        <w:sz w:val="21"/>
      </w:rPr>
    </w:lvl>
    <w:lvl w:ilvl="5" w:tentative="0">
      <w:start w:val="1"/>
      <w:numFmt w:val="decimal"/>
      <w:pStyle w:val="211"/>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AE367E9"/>
    <w:multiLevelType w:val="multilevel"/>
    <w:tmpl w:val="0AE367E9"/>
    <w:lvl w:ilvl="0" w:tentative="0">
      <w:start w:val="1"/>
      <w:numFmt w:val="none"/>
      <w:pStyle w:val="188"/>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7">
    <w:nsid w:val="0BDC1670"/>
    <w:multiLevelType w:val="multilevel"/>
    <w:tmpl w:val="0BDC1670"/>
    <w:lvl w:ilvl="0" w:tentative="0">
      <w:start w:val="1"/>
      <w:numFmt w:val="decimal"/>
      <w:pStyle w:val="74"/>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D051F45"/>
    <w:multiLevelType w:val="multilevel"/>
    <w:tmpl w:val="0D051F45"/>
    <w:lvl w:ilvl="0" w:tentative="0">
      <w:start w:val="1"/>
      <w:numFmt w:val="lowerRoman"/>
      <w:pStyle w:val="176"/>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9">
    <w:nsid w:val="1AD20F90"/>
    <w:multiLevelType w:val="multilevel"/>
    <w:tmpl w:val="1AD20F90"/>
    <w:lvl w:ilvl="0" w:tentative="0">
      <w:start w:val="1"/>
      <w:numFmt w:val="none"/>
      <w:pStyle w:val="117"/>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AF15012"/>
    <w:multiLevelType w:val="multilevel"/>
    <w:tmpl w:val="1AF15012"/>
    <w:lvl w:ilvl="0" w:tentative="0">
      <w:start w:val="1"/>
      <w:numFmt w:val="upperLetter"/>
      <w:pStyle w:val="92"/>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1EAA1992"/>
    <w:multiLevelType w:val="multilevel"/>
    <w:tmpl w:val="1EAA1992"/>
    <w:lvl w:ilvl="0" w:tentative="0">
      <w:start w:val="1"/>
      <w:numFmt w:val="none"/>
      <w:pStyle w:val="99"/>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2">
    <w:nsid w:val="2C5917C3"/>
    <w:multiLevelType w:val="multilevel"/>
    <w:tmpl w:val="2C5917C3"/>
    <w:lvl w:ilvl="0" w:tentative="0">
      <w:start w:val="1"/>
      <w:numFmt w:val="none"/>
      <w:pStyle w:val="139"/>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4"/>
      <w:lvlText w:val=""/>
      <w:lvlJc w:val="left"/>
      <w:pPr>
        <w:ind w:left="851" w:hanging="431"/>
      </w:pPr>
      <w:rPr>
        <w:rFonts w:hint="default" w:ascii="Symbol" w:hAnsi="Symbol"/>
        <w:sz w:val="21"/>
      </w:rPr>
    </w:lvl>
    <w:lvl w:ilvl="2" w:tentative="0">
      <w:start w:val="1"/>
      <w:numFmt w:val="bullet"/>
      <w:pStyle w:val="179"/>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3">
    <w:nsid w:val="32F04FB2"/>
    <w:multiLevelType w:val="multilevel"/>
    <w:tmpl w:val="32F04FB2"/>
    <w:lvl w:ilvl="0" w:tentative="0">
      <w:start w:val="1"/>
      <w:numFmt w:val="lowerLetter"/>
      <w:pStyle w:val="108"/>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4">
    <w:nsid w:val="44C50F90"/>
    <w:multiLevelType w:val="multilevel"/>
    <w:tmpl w:val="44C50F90"/>
    <w:lvl w:ilvl="0" w:tentative="0">
      <w:start w:val="1"/>
      <w:numFmt w:val="lowerLetter"/>
      <w:pStyle w:val="181"/>
      <w:lvlText w:val="%1)"/>
      <w:lvlJc w:val="left"/>
      <w:pPr>
        <w:tabs>
          <w:tab w:val="left" w:pos="851"/>
        </w:tabs>
        <w:ind w:left="851" w:hanging="426"/>
      </w:pPr>
      <w:rPr>
        <w:rFonts w:hint="eastAsia" w:ascii="宋体" w:hAnsi="Times New Roman" w:eastAsia="宋体"/>
        <w:sz w:val="21"/>
      </w:rPr>
    </w:lvl>
    <w:lvl w:ilvl="1" w:tentative="0">
      <w:start w:val="1"/>
      <w:numFmt w:val="decimal"/>
      <w:pStyle w:val="116"/>
      <w:lvlText w:val="%2)"/>
      <w:lvlJc w:val="left"/>
      <w:pPr>
        <w:tabs>
          <w:tab w:val="left" w:pos="1276"/>
        </w:tabs>
        <w:ind w:left="1276" w:hanging="425"/>
      </w:pPr>
      <w:rPr>
        <w:rFonts w:hint="eastAsia" w:ascii="宋体" w:hAnsi="Times New Roman" w:eastAsia="宋体"/>
        <w:sz w:val="21"/>
      </w:rPr>
    </w:lvl>
    <w:lvl w:ilvl="2" w:tentative="0">
      <w:start w:val="1"/>
      <w:numFmt w:val="decimal"/>
      <w:pStyle w:val="124"/>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5">
    <w:nsid w:val="4B733A5F"/>
    <w:multiLevelType w:val="multilevel"/>
    <w:tmpl w:val="4B733A5F"/>
    <w:lvl w:ilvl="0" w:tentative="0">
      <w:start w:val="1"/>
      <w:numFmt w:val="decimal"/>
      <w:pStyle w:val="190"/>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23"/>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100"/>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21"/>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4D2089"/>
    <w:multiLevelType w:val="multilevel"/>
    <w:tmpl w:val="564D2089"/>
    <w:lvl w:ilvl="0" w:tentative="0">
      <w:start w:val="1"/>
      <w:numFmt w:val="none"/>
      <w:pStyle w:val="118"/>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CCF408A"/>
    <w:multiLevelType w:val="multilevel"/>
    <w:tmpl w:val="5CCF408A"/>
    <w:lvl w:ilvl="0" w:tentative="0">
      <w:start w:val="1"/>
      <w:numFmt w:val="upperLetter"/>
      <w:pStyle w:val="206"/>
      <w:suff w:val="space"/>
      <w:lvlText w:val="%1"/>
      <w:lvlJc w:val="left"/>
      <w:pPr>
        <w:ind w:left="425" w:hanging="425"/>
      </w:pPr>
      <w:rPr>
        <w:rFonts w:hint="eastAsia"/>
      </w:rPr>
    </w:lvl>
    <w:lvl w:ilvl="1" w:tentative="0">
      <w:start w:val="1"/>
      <w:numFmt w:val="decimal"/>
      <w:pStyle w:val="84"/>
      <w:suff w:val="space"/>
      <w:lvlText w:val="表%1.%2　"/>
      <w:lvlJc w:val="center"/>
      <w:pPr>
        <w:tabs>
          <w:tab w:val="left" w:pos="0"/>
        </w:tabs>
        <w:ind w:left="0" w:firstLine="0"/>
      </w:pPr>
      <w:rPr>
        <w:rFonts w:hint="default"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644622F9"/>
    <w:multiLevelType w:val="multilevel"/>
    <w:tmpl w:val="644622F9"/>
    <w:lvl w:ilvl="0" w:tentative="0">
      <w:start w:val="1"/>
      <w:numFmt w:val="upperRoman"/>
      <w:pStyle w:val="175"/>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9"/>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96"/>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83"/>
      <w:suff w:val="nothing"/>
      <w:lvlText w:val="附录%1"/>
      <w:lvlJc w:val="left"/>
      <w:pPr>
        <w:ind w:left="0" w:firstLine="0"/>
      </w:pPr>
      <w:rPr>
        <w:rFonts w:hint="eastAsia"/>
        <w:spacing w:val="100"/>
      </w:rPr>
    </w:lvl>
    <w:lvl w:ilvl="1" w:tentative="0">
      <w:start w:val="1"/>
      <w:numFmt w:val="decimal"/>
      <w:pStyle w:val="85"/>
      <w:suff w:val="nothing"/>
      <w:lvlText w:val="%1.%2　"/>
      <w:lvlJc w:val="left"/>
      <w:pPr>
        <w:ind w:left="0" w:firstLine="0"/>
      </w:pPr>
      <w:rPr>
        <w:rFonts w:hint="eastAsia" w:ascii="黑体" w:eastAsia="黑体"/>
        <w:b w:val="0"/>
        <w:i w:val="0"/>
        <w:sz w:val="21"/>
      </w:rPr>
    </w:lvl>
    <w:lvl w:ilvl="2" w:tentative="0">
      <w:start w:val="1"/>
      <w:numFmt w:val="decimal"/>
      <w:pStyle w:val="86"/>
      <w:suff w:val="nothing"/>
      <w:lvlText w:val="%1.%2.%3　"/>
      <w:lvlJc w:val="left"/>
      <w:pPr>
        <w:ind w:left="0" w:firstLine="0"/>
      </w:pPr>
      <w:rPr>
        <w:rFonts w:hint="eastAsia" w:ascii="黑体" w:eastAsia="黑体"/>
        <w:b w:val="0"/>
        <w:i w:val="0"/>
        <w:sz w:val="21"/>
      </w:rPr>
    </w:lvl>
    <w:lvl w:ilvl="3" w:tentative="0">
      <w:start w:val="1"/>
      <w:numFmt w:val="decimal"/>
      <w:pStyle w:val="88"/>
      <w:suff w:val="nothing"/>
      <w:lvlText w:val="%1.%2.%3.%4　"/>
      <w:lvlJc w:val="left"/>
      <w:pPr>
        <w:ind w:left="0" w:firstLine="0"/>
      </w:pPr>
      <w:rPr>
        <w:rFonts w:hint="eastAsia" w:ascii="黑体" w:eastAsia="黑体"/>
        <w:b w:val="0"/>
        <w:i w:val="0"/>
        <w:sz w:val="21"/>
      </w:rPr>
    </w:lvl>
    <w:lvl w:ilvl="4" w:tentative="0">
      <w:start w:val="1"/>
      <w:numFmt w:val="decimal"/>
      <w:pStyle w:val="89"/>
      <w:suff w:val="nothing"/>
      <w:lvlText w:val="%1.%2.%3.%4.%5　"/>
      <w:lvlJc w:val="left"/>
      <w:pPr>
        <w:ind w:left="0" w:firstLine="0"/>
      </w:pPr>
      <w:rPr>
        <w:rFonts w:hint="eastAsia" w:ascii="黑体" w:eastAsia="黑体"/>
        <w:b w:val="0"/>
        <w:i w:val="0"/>
        <w:sz w:val="21"/>
      </w:rPr>
    </w:lvl>
    <w:lvl w:ilvl="5" w:tentative="0">
      <w:start w:val="1"/>
      <w:numFmt w:val="decimal"/>
      <w:pStyle w:val="91"/>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95"/>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104"/>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80"/>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9"/>
      <w:suff w:val="nothing"/>
      <w:lvlText w:val="%1"/>
      <w:lvlJc w:val="left"/>
      <w:pPr>
        <w:ind w:left="0" w:firstLine="0"/>
      </w:pPr>
      <w:rPr>
        <w:rFonts w:hint="eastAsia"/>
      </w:rPr>
    </w:lvl>
    <w:lvl w:ilvl="1" w:tentative="0">
      <w:start w:val="1"/>
      <w:numFmt w:val="decimal"/>
      <w:pStyle w:val="111"/>
      <w:suff w:val="nothing"/>
      <w:lvlText w:val="%1%2　"/>
      <w:lvlJc w:val="left"/>
      <w:pPr>
        <w:ind w:left="0" w:firstLine="0"/>
      </w:pPr>
      <w:rPr>
        <w:rFonts w:hint="eastAsia" w:ascii="黑体" w:eastAsia="黑体"/>
        <w:b w:val="0"/>
        <w:i w:val="0"/>
        <w:sz w:val="21"/>
      </w:rPr>
    </w:lvl>
    <w:lvl w:ilvl="2" w:tentative="0">
      <w:start w:val="1"/>
      <w:numFmt w:val="decimal"/>
      <w:pStyle w:val="112"/>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2"/>
      <w:suff w:val="nothing"/>
      <w:lvlText w:val="%1%2.%3.%4　"/>
      <w:lvlJc w:val="left"/>
      <w:pPr>
        <w:ind w:left="0" w:firstLine="0"/>
      </w:pPr>
      <w:rPr>
        <w:rFonts w:hint="eastAsia" w:ascii="黑体" w:eastAsia="黑体"/>
        <w:b w:val="0"/>
        <w:i w:val="0"/>
        <w:sz w:val="21"/>
      </w:rPr>
    </w:lvl>
    <w:lvl w:ilvl="4" w:tentative="0">
      <w:start w:val="1"/>
      <w:numFmt w:val="decimal"/>
      <w:pStyle w:val="101"/>
      <w:suff w:val="nothing"/>
      <w:lvlText w:val="%1%2.%3.%4.%5　"/>
      <w:lvlJc w:val="left"/>
      <w:pPr>
        <w:ind w:left="0" w:firstLine="0"/>
      </w:pPr>
      <w:rPr>
        <w:rFonts w:hint="eastAsia" w:ascii="黑体" w:eastAsia="黑体"/>
        <w:b w:val="0"/>
        <w:i w:val="0"/>
        <w:sz w:val="21"/>
      </w:rPr>
    </w:lvl>
    <w:lvl w:ilvl="5" w:tentative="0">
      <w:start w:val="1"/>
      <w:numFmt w:val="decimal"/>
      <w:pStyle w:val="105"/>
      <w:suff w:val="nothing"/>
      <w:lvlText w:val="%1%2.%3.%4.%5.%6　"/>
      <w:lvlJc w:val="left"/>
      <w:pPr>
        <w:ind w:left="0" w:firstLine="0"/>
      </w:pPr>
      <w:rPr>
        <w:rFonts w:hint="eastAsia" w:ascii="黑体" w:eastAsia="黑体"/>
        <w:b w:val="0"/>
        <w:i w:val="0"/>
        <w:sz w:val="21"/>
      </w:rPr>
    </w:lvl>
    <w:lvl w:ilvl="6" w:tentative="0">
      <w:start w:val="1"/>
      <w:numFmt w:val="decimal"/>
      <w:pStyle w:val="110"/>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86"/>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22"/>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46"/>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28"/>
  </w:num>
  <w:num w:numId="3">
    <w:abstractNumId w:val="7"/>
  </w:num>
  <w:num w:numId="4">
    <w:abstractNumId w:val="24"/>
  </w:num>
  <w:num w:numId="5">
    <w:abstractNumId w:val="20"/>
  </w:num>
  <w:num w:numId="6">
    <w:abstractNumId w:val="0"/>
  </w:num>
  <w:num w:numId="7">
    <w:abstractNumId w:val="10"/>
  </w:num>
  <w:num w:numId="8">
    <w:abstractNumId w:val="5"/>
  </w:num>
  <w:num w:numId="9">
    <w:abstractNumId w:val="11"/>
  </w:num>
  <w:num w:numId="10">
    <w:abstractNumId w:val="17"/>
  </w:num>
  <w:num w:numId="11">
    <w:abstractNumId w:val="26"/>
  </w:num>
  <w:num w:numId="12">
    <w:abstractNumId w:val="13"/>
  </w:num>
  <w:num w:numId="13">
    <w:abstractNumId w:val="14"/>
  </w:num>
  <w:num w:numId="14">
    <w:abstractNumId w:val="9"/>
  </w:num>
  <w:num w:numId="15">
    <w:abstractNumId w:val="19"/>
  </w:num>
  <w:num w:numId="16">
    <w:abstractNumId w:val="22"/>
  </w:num>
  <w:num w:numId="17">
    <w:abstractNumId w:val="18"/>
  </w:num>
  <w:num w:numId="18">
    <w:abstractNumId w:val="30"/>
  </w:num>
  <w:num w:numId="19">
    <w:abstractNumId w:val="16"/>
  </w:num>
  <w:num w:numId="20">
    <w:abstractNumId w:val="3"/>
  </w:num>
  <w:num w:numId="21">
    <w:abstractNumId w:val="12"/>
  </w:num>
  <w:num w:numId="22">
    <w:abstractNumId w:val="31"/>
  </w:num>
  <w:num w:numId="23">
    <w:abstractNumId w:val="21"/>
  </w:num>
  <w:num w:numId="24">
    <w:abstractNumId w:val="8"/>
  </w:num>
  <w:num w:numId="25">
    <w:abstractNumId w:val="27"/>
  </w:num>
  <w:num w:numId="26">
    <w:abstractNumId w:val="29"/>
  </w:num>
  <w:num w:numId="27">
    <w:abstractNumId w:val="4"/>
  </w:num>
  <w:num w:numId="28">
    <w:abstractNumId w:val="6"/>
  </w:num>
  <w:num w:numId="29">
    <w:abstractNumId w:val="15"/>
  </w:num>
  <w:num w:numId="30">
    <w:abstractNumId w:val="25"/>
  </w:num>
  <w:num w:numId="31">
    <w:abstractNumId w:val="2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TrueTypeFonts/>
  <w:bordersDoNotSurroundHeader w:val="0"/>
  <w:bordersDoNotSurroundFooter w:val="0"/>
  <w:attachedTemplate r:id="rId1"/>
  <w:documentProtection w:edit="forms"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hNzc5NGNmMzdlZmE0ZmRhNGMxZmY4ZDU4Zjk1MjcifQ=="/>
  </w:docVars>
  <w:rsids>
    <w:rsidRoot w:val="00CA61A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2C03"/>
    <w:rsid w:val="001C42F7"/>
    <w:rsid w:val="001C49E5"/>
    <w:rsid w:val="001C66E0"/>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9A4"/>
    <w:rsid w:val="00205F2C"/>
    <w:rsid w:val="00210B15"/>
    <w:rsid w:val="002142EA"/>
    <w:rsid w:val="002204BB"/>
    <w:rsid w:val="00221B79"/>
    <w:rsid w:val="00221C6B"/>
    <w:rsid w:val="00224596"/>
    <w:rsid w:val="002253A1"/>
    <w:rsid w:val="00225CF8"/>
    <w:rsid w:val="0022718D"/>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07A95"/>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3104"/>
    <w:rsid w:val="003C5A43"/>
    <w:rsid w:val="003D0519"/>
    <w:rsid w:val="003D0FF6"/>
    <w:rsid w:val="003D12CF"/>
    <w:rsid w:val="003D262C"/>
    <w:rsid w:val="003D6D61"/>
    <w:rsid w:val="003E015F"/>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297"/>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2335"/>
    <w:rsid w:val="005E34CA"/>
    <w:rsid w:val="005E3C18"/>
    <w:rsid w:val="005E6318"/>
    <w:rsid w:val="005E6812"/>
    <w:rsid w:val="005E7829"/>
    <w:rsid w:val="005E7881"/>
    <w:rsid w:val="005E78E0"/>
    <w:rsid w:val="005F0D9C"/>
    <w:rsid w:val="005F284E"/>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2977"/>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562FB"/>
    <w:rsid w:val="00860297"/>
    <w:rsid w:val="008603CE"/>
    <w:rsid w:val="008620FC"/>
    <w:rsid w:val="008627A5"/>
    <w:rsid w:val="00863E05"/>
    <w:rsid w:val="0086431E"/>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11AF6"/>
    <w:rsid w:val="00911BE5"/>
    <w:rsid w:val="00913CA9"/>
    <w:rsid w:val="009145AE"/>
    <w:rsid w:val="009146CE"/>
    <w:rsid w:val="00914CA7"/>
    <w:rsid w:val="00915C3E"/>
    <w:rsid w:val="009161A8"/>
    <w:rsid w:val="009245F5"/>
    <w:rsid w:val="009249EC"/>
    <w:rsid w:val="009273B3"/>
    <w:rsid w:val="009305B5"/>
    <w:rsid w:val="00941FA3"/>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47FA"/>
    <w:rsid w:val="009D50D2"/>
    <w:rsid w:val="009D6BCA"/>
    <w:rsid w:val="009D72B9"/>
    <w:rsid w:val="009E0F62"/>
    <w:rsid w:val="009E1848"/>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7CCB"/>
    <w:rsid w:val="00A83D8D"/>
    <w:rsid w:val="00A83E19"/>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31C"/>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C1A4E"/>
    <w:rsid w:val="00BC5DC7"/>
    <w:rsid w:val="00BC6B41"/>
    <w:rsid w:val="00BC6B8B"/>
    <w:rsid w:val="00BC73D8"/>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1A4"/>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363"/>
    <w:rsid w:val="00CC6E4E"/>
    <w:rsid w:val="00CC6FE8"/>
    <w:rsid w:val="00CC7202"/>
    <w:rsid w:val="00CD2808"/>
    <w:rsid w:val="00CD28BF"/>
    <w:rsid w:val="00CD4092"/>
    <w:rsid w:val="00CD4A20"/>
    <w:rsid w:val="00CD50A1"/>
    <w:rsid w:val="00CD519E"/>
    <w:rsid w:val="00CD5EEF"/>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1865"/>
    <w:rsid w:val="00D51BF3"/>
    <w:rsid w:val="00D54B98"/>
    <w:rsid w:val="00D56D85"/>
    <w:rsid w:val="00D66846"/>
    <w:rsid w:val="00D675FB"/>
    <w:rsid w:val="00D71F25"/>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30FAC"/>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B63"/>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1D01"/>
    <w:rsid w:val="00F833BA"/>
    <w:rsid w:val="00F84FD0"/>
    <w:rsid w:val="00F859A8"/>
    <w:rsid w:val="00F86C8B"/>
    <w:rsid w:val="00F9108B"/>
    <w:rsid w:val="00F91349"/>
    <w:rsid w:val="00F93A8A"/>
    <w:rsid w:val="00F95248"/>
    <w:rsid w:val="00F956A9"/>
    <w:rsid w:val="00F963ED"/>
    <w:rsid w:val="00F966CF"/>
    <w:rsid w:val="00F96CAE"/>
    <w:rsid w:val="00F97C99"/>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13B0DE8"/>
    <w:rsid w:val="013E61E2"/>
    <w:rsid w:val="01445144"/>
    <w:rsid w:val="01DB1C83"/>
    <w:rsid w:val="02247ACE"/>
    <w:rsid w:val="024B6E08"/>
    <w:rsid w:val="027345B1"/>
    <w:rsid w:val="02EB239A"/>
    <w:rsid w:val="0337738D"/>
    <w:rsid w:val="035E700F"/>
    <w:rsid w:val="03802AE2"/>
    <w:rsid w:val="038F0F77"/>
    <w:rsid w:val="03936A9A"/>
    <w:rsid w:val="0397523E"/>
    <w:rsid w:val="041A1DAA"/>
    <w:rsid w:val="04D71266"/>
    <w:rsid w:val="05017C52"/>
    <w:rsid w:val="0506793D"/>
    <w:rsid w:val="05383DBD"/>
    <w:rsid w:val="05485881"/>
    <w:rsid w:val="056D7D96"/>
    <w:rsid w:val="057E74F5"/>
    <w:rsid w:val="05D13AC9"/>
    <w:rsid w:val="05E25CD6"/>
    <w:rsid w:val="062067FE"/>
    <w:rsid w:val="06370BD1"/>
    <w:rsid w:val="06E635A4"/>
    <w:rsid w:val="071740BE"/>
    <w:rsid w:val="072126BE"/>
    <w:rsid w:val="074107DA"/>
    <w:rsid w:val="0741664E"/>
    <w:rsid w:val="074402CA"/>
    <w:rsid w:val="074B2F2B"/>
    <w:rsid w:val="076C2B3D"/>
    <w:rsid w:val="07837045"/>
    <w:rsid w:val="07F22FA2"/>
    <w:rsid w:val="0808754A"/>
    <w:rsid w:val="08267E19"/>
    <w:rsid w:val="082A74C0"/>
    <w:rsid w:val="089112ED"/>
    <w:rsid w:val="08C94F2B"/>
    <w:rsid w:val="08D631A4"/>
    <w:rsid w:val="08FB2C0B"/>
    <w:rsid w:val="09075A53"/>
    <w:rsid w:val="096133B5"/>
    <w:rsid w:val="0966277A"/>
    <w:rsid w:val="098B21E0"/>
    <w:rsid w:val="09DC47EA"/>
    <w:rsid w:val="0A3B7B2A"/>
    <w:rsid w:val="0A49096C"/>
    <w:rsid w:val="0AAE6112"/>
    <w:rsid w:val="0B510CC2"/>
    <w:rsid w:val="0B61144B"/>
    <w:rsid w:val="0B7373D0"/>
    <w:rsid w:val="0B7E024F"/>
    <w:rsid w:val="0BA37CB5"/>
    <w:rsid w:val="0C7015F6"/>
    <w:rsid w:val="0C8F023A"/>
    <w:rsid w:val="0C96783C"/>
    <w:rsid w:val="0C9B6BDE"/>
    <w:rsid w:val="0CA666F2"/>
    <w:rsid w:val="0CA912FB"/>
    <w:rsid w:val="0CAC0DEC"/>
    <w:rsid w:val="0CB24D02"/>
    <w:rsid w:val="0CBD4DA7"/>
    <w:rsid w:val="0CF06F2A"/>
    <w:rsid w:val="0CF7697F"/>
    <w:rsid w:val="0CF9720F"/>
    <w:rsid w:val="0D05744B"/>
    <w:rsid w:val="0D183D8B"/>
    <w:rsid w:val="0D205F98"/>
    <w:rsid w:val="0D397A5A"/>
    <w:rsid w:val="0D56119B"/>
    <w:rsid w:val="0D985311"/>
    <w:rsid w:val="0DA21B9C"/>
    <w:rsid w:val="0DEC33DE"/>
    <w:rsid w:val="0DEE2D3E"/>
    <w:rsid w:val="0E323572"/>
    <w:rsid w:val="0E5E4367"/>
    <w:rsid w:val="0E6D5BB9"/>
    <w:rsid w:val="0EAA135B"/>
    <w:rsid w:val="0EAE0E4B"/>
    <w:rsid w:val="0ED9579C"/>
    <w:rsid w:val="0F1467D4"/>
    <w:rsid w:val="0F1C5EFC"/>
    <w:rsid w:val="0F3E4653"/>
    <w:rsid w:val="0F576C9E"/>
    <w:rsid w:val="0FAB7138"/>
    <w:rsid w:val="0FF860F6"/>
    <w:rsid w:val="1024598E"/>
    <w:rsid w:val="105517FE"/>
    <w:rsid w:val="107C0AD5"/>
    <w:rsid w:val="108C091C"/>
    <w:rsid w:val="10971222"/>
    <w:rsid w:val="10F260A2"/>
    <w:rsid w:val="11346DAD"/>
    <w:rsid w:val="11364E51"/>
    <w:rsid w:val="115C628C"/>
    <w:rsid w:val="117479FE"/>
    <w:rsid w:val="118045F5"/>
    <w:rsid w:val="119F4A7B"/>
    <w:rsid w:val="11A6405B"/>
    <w:rsid w:val="11B61661"/>
    <w:rsid w:val="11BD13A5"/>
    <w:rsid w:val="11E82659"/>
    <w:rsid w:val="120B2110"/>
    <w:rsid w:val="126637EB"/>
    <w:rsid w:val="1279042F"/>
    <w:rsid w:val="1289734F"/>
    <w:rsid w:val="12C15029"/>
    <w:rsid w:val="12E71E34"/>
    <w:rsid w:val="12FE379E"/>
    <w:rsid w:val="13693232"/>
    <w:rsid w:val="13743CE5"/>
    <w:rsid w:val="13947D4D"/>
    <w:rsid w:val="13DA623E"/>
    <w:rsid w:val="14047949"/>
    <w:rsid w:val="142D2812"/>
    <w:rsid w:val="14403A45"/>
    <w:rsid w:val="14755F67"/>
    <w:rsid w:val="14897755"/>
    <w:rsid w:val="14C95AF3"/>
    <w:rsid w:val="15003A82"/>
    <w:rsid w:val="15107A3E"/>
    <w:rsid w:val="15164B54"/>
    <w:rsid w:val="154871D8"/>
    <w:rsid w:val="154E24EE"/>
    <w:rsid w:val="1579275D"/>
    <w:rsid w:val="15854FAB"/>
    <w:rsid w:val="15D942D4"/>
    <w:rsid w:val="15E931DA"/>
    <w:rsid w:val="160937DE"/>
    <w:rsid w:val="161D66CD"/>
    <w:rsid w:val="1662251B"/>
    <w:rsid w:val="16946B78"/>
    <w:rsid w:val="16BD34A4"/>
    <w:rsid w:val="1740285C"/>
    <w:rsid w:val="174B0D9F"/>
    <w:rsid w:val="177047B1"/>
    <w:rsid w:val="1798559B"/>
    <w:rsid w:val="17F378CF"/>
    <w:rsid w:val="181451A4"/>
    <w:rsid w:val="182932F0"/>
    <w:rsid w:val="185C5798"/>
    <w:rsid w:val="18E13ADF"/>
    <w:rsid w:val="19020F76"/>
    <w:rsid w:val="194B7296"/>
    <w:rsid w:val="195218C7"/>
    <w:rsid w:val="19AD1853"/>
    <w:rsid w:val="19E80F89"/>
    <w:rsid w:val="19F87CF8"/>
    <w:rsid w:val="1A2E2E40"/>
    <w:rsid w:val="1A5B14D5"/>
    <w:rsid w:val="1A6C3968"/>
    <w:rsid w:val="1AB53561"/>
    <w:rsid w:val="1AD05CA5"/>
    <w:rsid w:val="1AF851FC"/>
    <w:rsid w:val="1B081624"/>
    <w:rsid w:val="1B444464"/>
    <w:rsid w:val="1B9969DF"/>
    <w:rsid w:val="1C05105F"/>
    <w:rsid w:val="1C2019B2"/>
    <w:rsid w:val="1C232937"/>
    <w:rsid w:val="1C4921B3"/>
    <w:rsid w:val="1C5E47EB"/>
    <w:rsid w:val="1C84035C"/>
    <w:rsid w:val="1C861486"/>
    <w:rsid w:val="1C90180A"/>
    <w:rsid w:val="1CB44504"/>
    <w:rsid w:val="1CBF06C7"/>
    <w:rsid w:val="1CD11779"/>
    <w:rsid w:val="1CD557F5"/>
    <w:rsid w:val="1CFE203E"/>
    <w:rsid w:val="1D3E1AE8"/>
    <w:rsid w:val="1D412E8A"/>
    <w:rsid w:val="1D6152DA"/>
    <w:rsid w:val="1D9C6312"/>
    <w:rsid w:val="1DA578BD"/>
    <w:rsid w:val="1DA8115B"/>
    <w:rsid w:val="1DE37048"/>
    <w:rsid w:val="1E122A78"/>
    <w:rsid w:val="1E293DC9"/>
    <w:rsid w:val="1E592455"/>
    <w:rsid w:val="1E8C6387"/>
    <w:rsid w:val="1F0506DA"/>
    <w:rsid w:val="1F4629DA"/>
    <w:rsid w:val="1F5A46D7"/>
    <w:rsid w:val="1F7D0E8D"/>
    <w:rsid w:val="1F7E2174"/>
    <w:rsid w:val="1FBC6ED8"/>
    <w:rsid w:val="1FFB71EF"/>
    <w:rsid w:val="2011123A"/>
    <w:rsid w:val="20112FE8"/>
    <w:rsid w:val="202F6FF1"/>
    <w:rsid w:val="203B1A9A"/>
    <w:rsid w:val="20586BFF"/>
    <w:rsid w:val="206F32C6"/>
    <w:rsid w:val="20A206AE"/>
    <w:rsid w:val="211612EB"/>
    <w:rsid w:val="21167384"/>
    <w:rsid w:val="2136082C"/>
    <w:rsid w:val="21703D3E"/>
    <w:rsid w:val="221446F8"/>
    <w:rsid w:val="22A21F61"/>
    <w:rsid w:val="23135F56"/>
    <w:rsid w:val="23720E5B"/>
    <w:rsid w:val="239F4DAE"/>
    <w:rsid w:val="23B2431C"/>
    <w:rsid w:val="24101808"/>
    <w:rsid w:val="2446648F"/>
    <w:rsid w:val="24E862E1"/>
    <w:rsid w:val="2560231B"/>
    <w:rsid w:val="257152D6"/>
    <w:rsid w:val="25D80104"/>
    <w:rsid w:val="26013711"/>
    <w:rsid w:val="2604378E"/>
    <w:rsid w:val="2641214D"/>
    <w:rsid w:val="26435EC5"/>
    <w:rsid w:val="264F486A"/>
    <w:rsid w:val="26597496"/>
    <w:rsid w:val="268D6C84"/>
    <w:rsid w:val="26AC40FD"/>
    <w:rsid w:val="26B11406"/>
    <w:rsid w:val="26C568DA"/>
    <w:rsid w:val="26D22DA5"/>
    <w:rsid w:val="26F251F5"/>
    <w:rsid w:val="26FD2518"/>
    <w:rsid w:val="2706199F"/>
    <w:rsid w:val="27191146"/>
    <w:rsid w:val="272555CB"/>
    <w:rsid w:val="272705E4"/>
    <w:rsid w:val="277420AE"/>
    <w:rsid w:val="278B636C"/>
    <w:rsid w:val="27A74232"/>
    <w:rsid w:val="281713B7"/>
    <w:rsid w:val="28526934"/>
    <w:rsid w:val="28AA3FD9"/>
    <w:rsid w:val="28CE6F9F"/>
    <w:rsid w:val="28D46B7D"/>
    <w:rsid w:val="298F4F7D"/>
    <w:rsid w:val="29D55086"/>
    <w:rsid w:val="2A1A5F20"/>
    <w:rsid w:val="2A1F27A5"/>
    <w:rsid w:val="2A222295"/>
    <w:rsid w:val="2A3A75DF"/>
    <w:rsid w:val="2A7B0D43"/>
    <w:rsid w:val="2A7E19B7"/>
    <w:rsid w:val="2A984505"/>
    <w:rsid w:val="2ABA24CE"/>
    <w:rsid w:val="2ABC5A31"/>
    <w:rsid w:val="2AE76B06"/>
    <w:rsid w:val="2B0025D7"/>
    <w:rsid w:val="2B6366C1"/>
    <w:rsid w:val="2B7408CF"/>
    <w:rsid w:val="2B941177"/>
    <w:rsid w:val="2BA80578"/>
    <w:rsid w:val="2BB331A5"/>
    <w:rsid w:val="2BCC070B"/>
    <w:rsid w:val="2BF727FE"/>
    <w:rsid w:val="2C047EA4"/>
    <w:rsid w:val="2C405C02"/>
    <w:rsid w:val="2C610E53"/>
    <w:rsid w:val="2C974E26"/>
    <w:rsid w:val="2CC71744"/>
    <w:rsid w:val="2CF73998"/>
    <w:rsid w:val="2D142369"/>
    <w:rsid w:val="2D175AA2"/>
    <w:rsid w:val="2D364384"/>
    <w:rsid w:val="2D864A37"/>
    <w:rsid w:val="2DE832DC"/>
    <w:rsid w:val="2E067F10"/>
    <w:rsid w:val="2E2E745B"/>
    <w:rsid w:val="2E312AA7"/>
    <w:rsid w:val="2E6E3CFB"/>
    <w:rsid w:val="2E7A774E"/>
    <w:rsid w:val="2EA65243"/>
    <w:rsid w:val="2EE70DB5"/>
    <w:rsid w:val="2EEF10A1"/>
    <w:rsid w:val="2EEF5C10"/>
    <w:rsid w:val="2F1B2612"/>
    <w:rsid w:val="2F466B3B"/>
    <w:rsid w:val="2FA5374C"/>
    <w:rsid w:val="2FAF42C8"/>
    <w:rsid w:val="2FE752D1"/>
    <w:rsid w:val="300A7A53"/>
    <w:rsid w:val="30304791"/>
    <w:rsid w:val="303B5E5F"/>
    <w:rsid w:val="304E7940"/>
    <w:rsid w:val="3069477A"/>
    <w:rsid w:val="309D614E"/>
    <w:rsid w:val="30F0112E"/>
    <w:rsid w:val="313528AE"/>
    <w:rsid w:val="314D19A6"/>
    <w:rsid w:val="318D4498"/>
    <w:rsid w:val="31A11CF2"/>
    <w:rsid w:val="31E3055C"/>
    <w:rsid w:val="32686B23"/>
    <w:rsid w:val="32AB5D01"/>
    <w:rsid w:val="32D3237F"/>
    <w:rsid w:val="332A7819"/>
    <w:rsid w:val="334376A7"/>
    <w:rsid w:val="33492641"/>
    <w:rsid w:val="33686F6B"/>
    <w:rsid w:val="338C5873"/>
    <w:rsid w:val="33A900F6"/>
    <w:rsid w:val="33D31231"/>
    <w:rsid w:val="33D60378"/>
    <w:rsid w:val="33E22740"/>
    <w:rsid w:val="34120C85"/>
    <w:rsid w:val="341D114F"/>
    <w:rsid w:val="347D6A46"/>
    <w:rsid w:val="349873DC"/>
    <w:rsid w:val="34A77AD0"/>
    <w:rsid w:val="34BF4CAA"/>
    <w:rsid w:val="34FA3BF3"/>
    <w:rsid w:val="35020CF9"/>
    <w:rsid w:val="351729F7"/>
    <w:rsid w:val="352D62CE"/>
    <w:rsid w:val="358F02C1"/>
    <w:rsid w:val="35986C99"/>
    <w:rsid w:val="35E11274"/>
    <w:rsid w:val="35EF42A0"/>
    <w:rsid w:val="35F04FF6"/>
    <w:rsid w:val="360E3B2F"/>
    <w:rsid w:val="36286DD0"/>
    <w:rsid w:val="365C268B"/>
    <w:rsid w:val="36723C5D"/>
    <w:rsid w:val="367501B8"/>
    <w:rsid w:val="368470CC"/>
    <w:rsid w:val="376143FD"/>
    <w:rsid w:val="38042FDA"/>
    <w:rsid w:val="38084878"/>
    <w:rsid w:val="382471D8"/>
    <w:rsid w:val="38510A7B"/>
    <w:rsid w:val="38811B6E"/>
    <w:rsid w:val="389B28F8"/>
    <w:rsid w:val="38BD6D58"/>
    <w:rsid w:val="38F02E97"/>
    <w:rsid w:val="39447FDB"/>
    <w:rsid w:val="395B30CE"/>
    <w:rsid w:val="39CD5D7A"/>
    <w:rsid w:val="39E60BE9"/>
    <w:rsid w:val="39FE35D6"/>
    <w:rsid w:val="3A240899"/>
    <w:rsid w:val="3A6B550B"/>
    <w:rsid w:val="3A7D77A0"/>
    <w:rsid w:val="3AA85CCA"/>
    <w:rsid w:val="3AAB598F"/>
    <w:rsid w:val="3AD4069B"/>
    <w:rsid w:val="3B177A3B"/>
    <w:rsid w:val="3B3720B6"/>
    <w:rsid w:val="3B434C68"/>
    <w:rsid w:val="3B4756B8"/>
    <w:rsid w:val="3B4B21D2"/>
    <w:rsid w:val="3B5B1163"/>
    <w:rsid w:val="3B660234"/>
    <w:rsid w:val="3B7A10AA"/>
    <w:rsid w:val="3B8F2C3B"/>
    <w:rsid w:val="3B9E5419"/>
    <w:rsid w:val="3B9F3746"/>
    <w:rsid w:val="3BBF5B96"/>
    <w:rsid w:val="3BE23632"/>
    <w:rsid w:val="3C137C90"/>
    <w:rsid w:val="3C1557B6"/>
    <w:rsid w:val="3C670048"/>
    <w:rsid w:val="3C9F2581"/>
    <w:rsid w:val="3CE1265E"/>
    <w:rsid w:val="3D0F0457"/>
    <w:rsid w:val="3D211F38"/>
    <w:rsid w:val="3D513680"/>
    <w:rsid w:val="3D566C49"/>
    <w:rsid w:val="3D8F1791"/>
    <w:rsid w:val="3D98044D"/>
    <w:rsid w:val="3E0C4997"/>
    <w:rsid w:val="3E204318"/>
    <w:rsid w:val="3E2E7003"/>
    <w:rsid w:val="3E4F1453"/>
    <w:rsid w:val="3E5915D6"/>
    <w:rsid w:val="3E676FE7"/>
    <w:rsid w:val="3E6A003B"/>
    <w:rsid w:val="3E907376"/>
    <w:rsid w:val="3F0538C0"/>
    <w:rsid w:val="3F0B3AFE"/>
    <w:rsid w:val="3FA550A3"/>
    <w:rsid w:val="3FEE66DD"/>
    <w:rsid w:val="40491ED2"/>
    <w:rsid w:val="404D5D77"/>
    <w:rsid w:val="405C7E57"/>
    <w:rsid w:val="40685A73"/>
    <w:rsid w:val="40E65973"/>
    <w:rsid w:val="40EC0DD9"/>
    <w:rsid w:val="40EF3947"/>
    <w:rsid w:val="40FB4353"/>
    <w:rsid w:val="41263FC1"/>
    <w:rsid w:val="413B181B"/>
    <w:rsid w:val="41517290"/>
    <w:rsid w:val="41522043"/>
    <w:rsid w:val="41A27AEC"/>
    <w:rsid w:val="41D35EF7"/>
    <w:rsid w:val="41D97316"/>
    <w:rsid w:val="41EA1493"/>
    <w:rsid w:val="4207790D"/>
    <w:rsid w:val="42984A4B"/>
    <w:rsid w:val="42A17DA3"/>
    <w:rsid w:val="42BC6C22"/>
    <w:rsid w:val="42EB7271"/>
    <w:rsid w:val="430B346F"/>
    <w:rsid w:val="430C3285"/>
    <w:rsid w:val="43525542"/>
    <w:rsid w:val="437454B8"/>
    <w:rsid w:val="43876DC7"/>
    <w:rsid w:val="439B2A45"/>
    <w:rsid w:val="439F6551"/>
    <w:rsid w:val="44006D4C"/>
    <w:rsid w:val="44636591"/>
    <w:rsid w:val="449A0075"/>
    <w:rsid w:val="44C304A5"/>
    <w:rsid w:val="44FD4773"/>
    <w:rsid w:val="45034D45"/>
    <w:rsid w:val="45486BFC"/>
    <w:rsid w:val="45DB35CC"/>
    <w:rsid w:val="45E83F3B"/>
    <w:rsid w:val="45FA7D5B"/>
    <w:rsid w:val="464078D3"/>
    <w:rsid w:val="464229AA"/>
    <w:rsid w:val="465A48FC"/>
    <w:rsid w:val="46696CCB"/>
    <w:rsid w:val="46794B93"/>
    <w:rsid w:val="46895648"/>
    <w:rsid w:val="46D70238"/>
    <w:rsid w:val="46D87B0C"/>
    <w:rsid w:val="473C009B"/>
    <w:rsid w:val="473F1EFF"/>
    <w:rsid w:val="47613FA5"/>
    <w:rsid w:val="47BC2352"/>
    <w:rsid w:val="47C22C96"/>
    <w:rsid w:val="48457423"/>
    <w:rsid w:val="48530866"/>
    <w:rsid w:val="488B752C"/>
    <w:rsid w:val="48B06F92"/>
    <w:rsid w:val="48BB1493"/>
    <w:rsid w:val="48F76E74"/>
    <w:rsid w:val="490E0B33"/>
    <w:rsid w:val="49AF724A"/>
    <w:rsid w:val="49D1656A"/>
    <w:rsid w:val="49F64E79"/>
    <w:rsid w:val="4A075F7D"/>
    <w:rsid w:val="4A325785"/>
    <w:rsid w:val="4A5C2F47"/>
    <w:rsid w:val="4A800BE6"/>
    <w:rsid w:val="4ADB5E1D"/>
    <w:rsid w:val="4AE22767"/>
    <w:rsid w:val="4BA91A77"/>
    <w:rsid w:val="4BCF3BD3"/>
    <w:rsid w:val="4BD74836"/>
    <w:rsid w:val="4C371778"/>
    <w:rsid w:val="4C7C718B"/>
    <w:rsid w:val="4C8F6EBF"/>
    <w:rsid w:val="4CEA67EB"/>
    <w:rsid w:val="4D9329DF"/>
    <w:rsid w:val="4DDA23BB"/>
    <w:rsid w:val="4E232905"/>
    <w:rsid w:val="4E241889"/>
    <w:rsid w:val="4E4318FC"/>
    <w:rsid w:val="4E5C1022"/>
    <w:rsid w:val="4EB01641"/>
    <w:rsid w:val="4ED25E5C"/>
    <w:rsid w:val="4ED80FF1"/>
    <w:rsid w:val="4EE9227E"/>
    <w:rsid w:val="4EF37BD9"/>
    <w:rsid w:val="4EFE20DA"/>
    <w:rsid w:val="4F0A6CD0"/>
    <w:rsid w:val="4F534BF8"/>
    <w:rsid w:val="4F587A3C"/>
    <w:rsid w:val="4FBF2D98"/>
    <w:rsid w:val="4FCA62BD"/>
    <w:rsid w:val="4FCC3F86"/>
    <w:rsid w:val="4FD33566"/>
    <w:rsid w:val="50234908"/>
    <w:rsid w:val="50504BB7"/>
    <w:rsid w:val="507C3BFE"/>
    <w:rsid w:val="507E34D2"/>
    <w:rsid w:val="50966C31"/>
    <w:rsid w:val="50ED2406"/>
    <w:rsid w:val="50F419E6"/>
    <w:rsid w:val="51431169"/>
    <w:rsid w:val="514E65F3"/>
    <w:rsid w:val="517322E7"/>
    <w:rsid w:val="51825244"/>
    <w:rsid w:val="5193599C"/>
    <w:rsid w:val="519A0805"/>
    <w:rsid w:val="51F53C68"/>
    <w:rsid w:val="52102850"/>
    <w:rsid w:val="52316678"/>
    <w:rsid w:val="525A3ACB"/>
    <w:rsid w:val="525D0267"/>
    <w:rsid w:val="52B23907"/>
    <w:rsid w:val="52C11D9C"/>
    <w:rsid w:val="52EA30A1"/>
    <w:rsid w:val="52FE6B4C"/>
    <w:rsid w:val="53105563"/>
    <w:rsid w:val="53234C57"/>
    <w:rsid w:val="53343453"/>
    <w:rsid w:val="537D2167"/>
    <w:rsid w:val="53926B2B"/>
    <w:rsid w:val="53A94D22"/>
    <w:rsid w:val="53E2646E"/>
    <w:rsid w:val="54232D0E"/>
    <w:rsid w:val="544B5514"/>
    <w:rsid w:val="54560E40"/>
    <w:rsid w:val="546B0211"/>
    <w:rsid w:val="54C71C79"/>
    <w:rsid w:val="54DA0EF3"/>
    <w:rsid w:val="54DA7145"/>
    <w:rsid w:val="54F413E0"/>
    <w:rsid w:val="54FA3343"/>
    <w:rsid w:val="55282E21"/>
    <w:rsid w:val="556829A3"/>
    <w:rsid w:val="55F13F3D"/>
    <w:rsid w:val="55F259B1"/>
    <w:rsid w:val="56464697"/>
    <w:rsid w:val="56653928"/>
    <w:rsid w:val="567D7B45"/>
    <w:rsid w:val="569F2107"/>
    <w:rsid w:val="56A31EE4"/>
    <w:rsid w:val="56BC7955"/>
    <w:rsid w:val="56BE37C3"/>
    <w:rsid w:val="56F269C8"/>
    <w:rsid w:val="575A1E69"/>
    <w:rsid w:val="579B0E0D"/>
    <w:rsid w:val="57BD5228"/>
    <w:rsid w:val="57E22340"/>
    <w:rsid w:val="57E75E01"/>
    <w:rsid w:val="58126BF9"/>
    <w:rsid w:val="58690F0C"/>
    <w:rsid w:val="59326E77"/>
    <w:rsid w:val="595A6642"/>
    <w:rsid w:val="59943D66"/>
    <w:rsid w:val="59A0270B"/>
    <w:rsid w:val="59C759D8"/>
    <w:rsid w:val="59DB3743"/>
    <w:rsid w:val="5A2055FA"/>
    <w:rsid w:val="5A274BDA"/>
    <w:rsid w:val="5A3B2BD8"/>
    <w:rsid w:val="5A4B6B1B"/>
    <w:rsid w:val="5A5233BE"/>
    <w:rsid w:val="5A5A4FB0"/>
    <w:rsid w:val="5A83669F"/>
    <w:rsid w:val="5AA708CA"/>
    <w:rsid w:val="5AE1122D"/>
    <w:rsid w:val="5B345801"/>
    <w:rsid w:val="5B3951AC"/>
    <w:rsid w:val="5B555777"/>
    <w:rsid w:val="5BAF30D9"/>
    <w:rsid w:val="5BEC78DC"/>
    <w:rsid w:val="5C3133BD"/>
    <w:rsid w:val="5C336931"/>
    <w:rsid w:val="5C58107B"/>
    <w:rsid w:val="5C7659A5"/>
    <w:rsid w:val="5C78171D"/>
    <w:rsid w:val="5C9522F3"/>
    <w:rsid w:val="5CA54208"/>
    <w:rsid w:val="5CA711F8"/>
    <w:rsid w:val="5CBD35D4"/>
    <w:rsid w:val="5CD66444"/>
    <w:rsid w:val="5D3715D8"/>
    <w:rsid w:val="5D423AD9"/>
    <w:rsid w:val="5D487342"/>
    <w:rsid w:val="5D5A52C7"/>
    <w:rsid w:val="5D8B5480"/>
    <w:rsid w:val="5D946993"/>
    <w:rsid w:val="5DB669A1"/>
    <w:rsid w:val="5DBA4EB4"/>
    <w:rsid w:val="5DC10EA2"/>
    <w:rsid w:val="5DC307FA"/>
    <w:rsid w:val="5DC42740"/>
    <w:rsid w:val="5DD2614B"/>
    <w:rsid w:val="5DDE1A54"/>
    <w:rsid w:val="5DF5547E"/>
    <w:rsid w:val="5E1E00A2"/>
    <w:rsid w:val="5E937DA9"/>
    <w:rsid w:val="5ED510A9"/>
    <w:rsid w:val="5F107C5C"/>
    <w:rsid w:val="5F3E6C4E"/>
    <w:rsid w:val="5F5B0685"/>
    <w:rsid w:val="5F927999"/>
    <w:rsid w:val="5F9E149B"/>
    <w:rsid w:val="5FB06EF5"/>
    <w:rsid w:val="5FC133DB"/>
    <w:rsid w:val="5FCB425A"/>
    <w:rsid w:val="5FCE4022"/>
    <w:rsid w:val="5FD41360"/>
    <w:rsid w:val="5FF732A1"/>
    <w:rsid w:val="5FF923DA"/>
    <w:rsid w:val="5FFE3CFF"/>
    <w:rsid w:val="602B6AA7"/>
    <w:rsid w:val="605F4D5E"/>
    <w:rsid w:val="60940F4D"/>
    <w:rsid w:val="60967D57"/>
    <w:rsid w:val="609F196E"/>
    <w:rsid w:val="60A971FB"/>
    <w:rsid w:val="60AE790C"/>
    <w:rsid w:val="60C14876"/>
    <w:rsid w:val="60C45638"/>
    <w:rsid w:val="61127BCE"/>
    <w:rsid w:val="61193A0B"/>
    <w:rsid w:val="611B6B1B"/>
    <w:rsid w:val="6129748A"/>
    <w:rsid w:val="61C947C9"/>
    <w:rsid w:val="620316C6"/>
    <w:rsid w:val="620D321D"/>
    <w:rsid w:val="628F1E33"/>
    <w:rsid w:val="62DE42A4"/>
    <w:rsid w:val="63380AEB"/>
    <w:rsid w:val="63471527"/>
    <w:rsid w:val="63921D3E"/>
    <w:rsid w:val="63CB3C77"/>
    <w:rsid w:val="63E31B72"/>
    <w:rsid w:val="64127E15"/>
    <w:rsid w:val="64144421"/>
    <w:rsid w:val="6429154F"/>
    <w:rsid w:val="64A07D39"/>
    <w:rsid w:val="64B67DBB"/>
    <w:rsid w:val="64C6694E"/>
    <w:rsid w:val="64CD1AD5"/>
    <w:rsid w:val="64EC6A22"/>
    <w:rsid w:val="65385EEE"/>
    <w:rsid w:val="654E5711"/>
    <w:rsid w:val="657A6506"/>
    <w:rsid w:val="65B23EF2"/>
    <w:rsid w:val="65E733A7"/>
    <w:rsid w:val="6639539F"/>
    <w:rsid w:val="664036B8"/>
    <w:rsid w:val="66AF3A6A"/>
    <w:rsid w:val="66FB3677"/>
    <w:rsid w:val="67F97FFA"/>
    <w:rsid w:val="6852376A"/>
    <w:rsid w:val="6884144A"/>
    <w:rsid w:val="68F465CF"/>
    <w:rsid w:val="68F675F7"/>
    <w:rsid w:val="690D7691"/>
    <w:rsid w:val="695452C0"/>
    <w:rsid w:val="69807E63"/>
    <w:rsid w:val="69A00928"/>
    <w:rsid w:val="69F32F6D"/>
    <w:rsid w:val="69F85C4B"/>
    <w:rsid w:val="6A554E4C"/>
    <w:rsid w:val="6A694D9B"/>
    <w:rsid w:val="6A6A0E44"/>
    <w:rsid w:val="6A7750D2"/>
    <w:rsid w:val="6AA2357A"/>
    <w:rsid w:val="6B111D7A"/>
    <w:rsid w:val="6B3B4599"/>
    <w:rsid w:val="6B3C1D1C"/>
    <w:rsid w:val="6B43739A"/>
    <w:rsid w:val="6B563571"/>
    <w:rsid w:val="6B910106"/>
    <w:rsid w:val="6BB67B6C"/>
    <w:rsid w:val="6BC8505C"/>
    <w:rsid w:val="6BD36970"/>
    <w:rsid w:val="6BF13D3D"/>
    <w:rsid w:val="6BFB7C75"/>
    <w:rsid w:val="6C6C46CF"/>
    <w:rsid w:val="6C9003BD"/>
    <w:rsid w:val="6C9C4FB4"/>
    <w:rsid w:val="6CB322FE"/>
    <w:rsid w:val="6CC24944"/>
    <w:rsid w:val="6CC422B2"/>
    <w:rsid w:val="6CD57C73"/>
    <w:rsid w:val="6CF43042"/>
    <w:rsid w:val="6D1859BB"/>
    <w:rsid w:val="6D2C16A8"/>
    <w:rsid w:val="6DAD3BA8"/>
    <w:rsid w:val="6DB9657F"/>
    <w:rsid w:val="6DF02BC2"/>
    <w:rsid w:val="6E0C7B11"/>
    <w:rsid w:val="6E7A1325"/>
    <w:rsid w:val="6E7F06E9"/>
    <w:rsid w:val="6E922B12"/>
    <w:rsid w:val="6F1C062E"/>
    <w:rsid w:val="6F314216"/>
    <w:rsid w:val="6F631DB9"/>
    <w:rsid w:val="6F704695"/>
    <w:rsid w:val="6F881820"/>
    <w:rsid w:val="6F9957DB"/>
    <w:rsid w:val="6F9D65B5"/>
    <w:rsid w:val="6FDB3D0F"/>
    <w:rsid w:val="703D6AAE"/>
    <w:rsid w:val="703F3234"/>
    <w:rsid w:val="704241B9"/>
    <w:rsid w:val="704F233D"/>
    <w:rsid w:val="709C6820"/>
    <w:rsid w:val="70BE01D5"/>
    <w:rsid w:val="70C41EB3"/>
    <w:rsid w:val="70FC0CF6"/>
    <w:rsid w:val="716B1B75"/>
    <w:rsid w:val="716C6002"/>
    <w:rsid w:val="71876217"/>
    <w:rsid w:val="718D136F"/>
    <w:rsid w:val="71F17B50"/>
    <w:rsid w:val="71F66F14"/>
    <w:rsid w:val="71FE401B"/>
    <w:rsid w:val="7238577F"/>
    <w:rsid w:val="72402885"/>
    <w:rsid w:val="729F75BD"/>
    <w:rsid w:val="72C9287B"/>
    <w:rsid w:val="72E17BC5"/>
    <w:rsid w:val="7310016F"/>
    <w:rsid w:val="731E7DE9"/>
    <w:rsid w:val="734C5BFD"/>
    <w:rsid w:val="734D7008"/>
    <w:rsid w:val="735171B2"/>
    <w:rsid w:val="736A5E0C"/>
    <w:rsid w:val="738467A2"/>
    <w:rsid w:val="73951FDA"/>
    <w:rsid w:val="73B1065D"/>
    <w:rsid w:val="73C92407"/>
    <w:rsid w:val="74173885"/>
    <w:rsid w:val="741F6689"/>
    <w:rsid w:val="744511DB"/>
    <w:rsid w:val="74D3178F"/>
    <w:rsid w:val="74DF3CDB"/>
    <w:rsid w:val="75464731"/>
    <w:rsid w:val="75640639"/>
    <w:rsid w:val="75973D58"/>
    <w:rsid w:val="759A22AD"/>
    <w:rsid w:val="75BA64AB"/>
    <w:rsid w:val="75FF0C10"/>
    <w:rsid w:val="762B1026"/>
    <w:rsid w:val="76744178"/>
    <w:rsid w:val="76EC6B38"/>
    <w:rsid w:val="76EE465E"/>
    <w:rsid w:val="76FE5846"/>
    <w:rsid w:val="773E7BB3"/>
    <w:rsid w:val="77AB69F3"/>
    <w:rsid w:val="77DA2E34"/>
    <w:rsid w:val="77FA7033"/>
    <w:rsid w:val="77FC6D03"/>
    <w:rsid w:val="78174088"/>
    <w:rsid w:val="782D178F"/>
    <w:rsid w:val="78A97A5F"/>
    <w:rsid w:val="78C7785D"/>
    <w:rsid w:val="78D36201"/>
    <w:rsid w:val="78EC1071"/>
    <w:rsid w:val="790F6B0E"/>
    <w:rsid w:val="792620AF"/>
    <w:rsid w:val="7931480B"/>
    <w:rsid w:val="79B15E9D"/>
    <w:rsid w:val="79C922CD"/>
    <w:rsid w:val="7A0348C4"/>
    <w:rsid w:val="7A150154"/>
    <w:rsid w:val="7A241CEE"/>
    <w:rsid w:val="7A5C2B58"/>
    <w:rsid w:val="7B035A61"/>
    <w:rsid w:val="7B415E6B"/>
    <w:rsid w:val="7B5B5232"/>
    <w:rsid w:val="7B6B4CD9"/>
    <w:rsid w:val="7BB85132"/>
    <w:rsid w:val="7BF24BF0"/>
    <w:rsid w:val="7C09112C"/>
    <w:rsid w:val="7C127041"/>
    <w:rsid w:val="7C490589"/>
    <w:rsid w:val="7C4A0820"/>
    <w:rsid w:val="7C6B04FF"/>
    <w:rsid w:val="7C7E6484"/>
    <w:rsid w:val="7C9064ED"/>
    <w:rsid w:val="7CBB76D8"/>
    <w:rsid w:val="7CF16C56"/>
    <w:rsid w:val="7D225061"/>
    <w:rsid w:val="7D2F777E"/>
    <w:rsid w:val="7D37400B"/>
    <w:rsid w:val="7D521855"/>
    <w:rsid w:val="7D623654"/>
    <w:rsid w:val="7D7B29C4"/>
    <w:rsid w:val="7DC861E9"/>
    <w:rsid w:val="7E110D76"/>
    <w:rsid w:val="7E257EF5"/>
    <w:rsid w:val="7E466AB8"/>
    <w:rsid w:val="7E823BED"/>
    <w:rsid w:val="7EA877E8"/>
    <w:rsid w:val="7EB22415"/>
    <w:rsid w:val="7EB5427A"/>
    <w:rsid w:val="7EBE0DBA"/>
    <w:rsid w:val="7EC871EC"/>
    <w:rsid w:val="7EF944E8"/>
    <w:rsid w:val="7F741DC0"/>
    <w:rsid w:val="7F7E6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4">
    <w:name w:val="heading 1"/>
    <w:basedOn w:val="1"/>
    <w:next w:val="1"/>
    <w:link w:val="42"/>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3"/>
    <w:qFormat/>
    <w:uiPriority w:val="0"/>
    <w:pPr>
      <w:keepNext/>
      <w:keepLines/>
      <w:spacing w:before="260" w:after="260" w:line="416" w:lineRule="auto"/>
      <w:outlineLvl w:val="2"/>
    </w:pPr>
    <w:rPr>
      <w:b/>
      <w:bCs/>
      <w:sz w:val="32"/>
      <w:szCs w:val="32"/>
    </w:rPr>
  </w:style>
  <w:style w:type="paragraph" w:styleId="7">
    <w:name w:val="heading 4"/>
    <w:basedOn w:val="1"/>
    <w:next w:val="1"/>
    <w:link w:val="44"/>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45"/>
    <w:qFormat/>
    <w:uiPriority w:val="0"/>
    <w:pPr>
      <w:keepNext/>
      <w:keepLines/>
      <w:adjustRightInd/>
      <w:spacing w:before="280" w:after="290" w:line="376" w:lineRule="auto"/>
      <w:outlineLvl w:val="4"/>
    </w:pPr>
    <w:rPr>
      <w:b/>
      <w:bCs/>
      <w:sz w:val="28"/>
      <w:szCs w:val="28"/>
    </w:rPr>
  </w:style>
  <w:style w:type="paragraph" w:styleId="9">
    <w:name w:val="heading 6"/>
    <w:basedOn w:val="1"/>
    <w:next w:val="1"/>
    <w:link w:val="46"/>
    <w:qFormat/>
    <w:uiPriority w:val="0"/>
    <w:pPr>
      <w:keepNext/>
      <w:keepLines/>
      <w:adjustRightInd/>
      <w:spacing w:before="240" w:after="64" w:line="320" w:lineRule="auto"/>
      <w:outlineLvl w:val="5"/>
    </w:pPr>
    <w:rPr>
      <w:rFonts w:ascii="Arial" w:hAnsi="Arial" w:eastAsia="黑体"/>
      <w:b/>
      <w:bCs/>
      <w:sz w:val="24"/>
      <w:szCs w:val="24"/>
    </w:rPr>
  </w:style>
  <w:style w:type="paragraph" w:styleId="10">
    <w:name w:val="heading 7"/>
    <w:basedOn w:val="1"/>
    <w:next w:val="1"/>
    <w:link w:val="47"/>
    <w:qFormat/>
    <w:uiPriority w:val="0"/>
    <w:pPr>
      <w:keepNext/>
      <w:keepLines/>
      <w:adjustRightInd/>
      <w:spacing w:before="240" w:after="64" w:line="320" w:lineRule="auto"/>
      <w:outlineLvl w:val="6"/>
    </w:pPr>
    <w:rPr>
      <w:b/>
      <w:bCs/>
      <w:sz w:val="24"/>
      <w:szCs w:val="24"/>
    </w:rPr>
  </w:style>
  <w:style w:type="paragraph" w:styleId="11">
    <w:name w:val="heading 8"/>
    <w:basedOn w:val="1"/>
    <w:next w:val="1"/>
    <w:link w:val="48"/>
    <w:qFormat/>
    <w:uiPriority w:val="0"/>
    <w:pPr>
      <w:keepNext/>
      <w:keepLines/>
      <w:adjustRightInd/>
      <w:spacing w:before="240" w:after="64" w:line="320" w:lineRule="auto"/>
      <w:outlineLvl w:val="7"/>
    </w:pPr>
    <w:rPr>
      <w:rFonts w:ascii="Arial" w:hAnsi="Arial" w:eastAsia="黑体"/>
      <w:sz w:val="24"/>
      <w:szCs w:val="24"/>
    </w:rPr>
  </w:style>
  <w:style w:type="paragraph" w:styleId="12">
    <w:name w:val="heading 9"/>
    <w:basedOn w:val="1"/>
    <w:next w:val="1"/>
    <w:link w:val="49"/>
    <w:qFormat/>
    <w:uiPriority w:val="0"/>
    <w:pPr>
      <w:keepNext/>
      <w:keepLines/>
      <w:adjustRightInd/>
      <w:spacing w:before="240" w:after="64" w:line="320" w:lineRule="auto"/>
      <w:outlineLvl w:val="8"/>
    </w:pPr>
    <w:rPr>
      <w:rFonts w:ascii="Arial" w:hAnsi="Arial" w:eastAsia="黑体"/>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附录标识"/>
    <w:next w:val="3"/>
    <w:qFormat/>
    <w:uiPriority w:val="0"/>
    <w:pPr>
      <w:keepNext/>
      <w:widowControl/>
      <w:shd w:val="clear" w:color="FFFFFF" w:fill="FFFFFF"/>
      <w:adjustRightInd w:val="0"/>
      <w:spacing w:before="640" w:after="280" w:line="400" w:lineRule="exact"/>
      <w:ind w:left="3969"/>
      <w:jc w:val="center"/>
      <w:outlineLvl w:val="0"/>
    </w:pPr>
    <w:rPr>
      <w:rFonts w:ascii="黑体" w:hAnsi="Calibri" w:eastAsia="黑体" w:cs="Times New Roman"/>
      <w:kern w:val="0"/>
      <w:sz w:val="21"/>
      <w:szCs w:val="20"/>
      <w:lang w:val="en-US" w:eastAsia="zh-CN" w:bidi="ar-SA"/>
    </w:rPr>
  </w:style>
  <w:style w:type="paragraph" w:customStyle="1" w:styleId="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13">
    <w:name w:val="toc 7"/>
    <w:basedOn w:val="1"/>
    <w:next w:val="1"/>
    <w:unhideWhenUsed/>
    <w:qFormat/>
    <w:uiPriority w:val="39"/>
    <w:pPr>
      <w:tabs>
        <w:tab w:val="right" w:leader="dot" w:pos="9344"/>
      </w:tabs>
      <w:spacing w:line="300" w:lineRule="exact"/>
      <w:ind w:left="1259"/>
    </w:pPr>
    <w:rPr>
      <w:rFonts w:ascii="宋体"/>
    </w:rPr>
  </w:style>
  <w:style w:type="paragraph" w:styleId="14">
    <w:name w:val="Normal Indent"/>
    <w:basedOn w:val="1"/>
    <w:qFormat/>
    <w:uiPriority w:val="0"/>
    <w:pPr>
      <w:ind w:firstLine="420"/>
    </w:pPr>
  </w:style>
  <w:style w:type="paragraph" w:styleId="15">
    <w:name w:val="annotation text"/>
    <w:basedOn w:val="1"/>
    <w:link w:val="242"/>
    <w:semiHidden/>
    <w:unhideWhenUsed/>
    <w:qFormat/>
    <w:uiPriority w:val="99"/>
    <w:pPr>
      <w:jc w:val="left"/>
    </w:pPr>
  </w:style>
  <w:style w:type="paragraph" w:styleId="16">
    <w:name w:val="Body Text"/>
    <w:basedOn w:val="1"/>
    <w:link w:val="93"/>
    <w:qFormat/>
    <w:uiPriority w:val="0"/>
    <w:pPr>
      <w:spacing w:after="120"/>
    </w:pPr>
  </w:style>
  <w:style w:type="paragraph" w:styleId="17">
    <w:name w:val="toc 5"/>
    <w:basedOn w:val="1"/>
    <w:next w:val="1"/>
    <w:unhideWhenUsed/>
    <w:qFormat/>
    <w:uiPriority w:val="39"/>
    <w:pPr>
      <w:ind w:left="839"/>
    </w:pPr>
    <w:rPr>
      <w:rFonts w:ascii="宋体"/>
    </w:rPr>
  </w:style>
  <w:style w:type="paragraph" w:styleId="18">
    <w:name w:val="toc 3"/>
    <w:basedOn w:val="1"/>
    <w:next w:val="1"/>
    <w:unhideWhenUsed/>
    <w:qFormat/>
    <w:uiPriority w:val="39"/>
    <w:pPr>
      <w:spacing w:line="300" w:lineRule="exact"/>
      <w:ind w:left="420"/>
    </w:pPr>
    <w:rPr>
      <w:rFonts w:ascii="宋体"/>
    </w:rPr>
  </w:style>
  <w:style w:type="paragraph" w:styleId="19">
    <w:name w:val="Balloon Text"/>
    <w:basedOn w:val="1"/>
    <w:link w:val="52"/>
    <w:semiHidden/>
    <w:unhideWhenUsed/>
    <w:qFormat/>
    <w:uiPriority w:val="99"/>
    <w:rPr>
      <w:sz w:val="18"/>
      <w:szCs w:val="18"/>
    </w:rPr>
  </w:style>
  <w:style w:type="paragraph" w:styleId="20">
    <w:name w:val="footer"/>
    <w:basedOn w:val="1"/>
    <w:link w:val="51"/>
    <w:qFormat/>
    <w:uiPriority w:val="99"/>
    <w:pPr>
      <w:tabs>
        <w:tab w:val="center" w:pos="4153"/>
        <w:tab w:val="right" w:pos="8306"/>
      </w:tabs>
      <w:adjustRightInd/>
      <w:snapToGrid w:val="0"/>
      <w:spacing w:line="240" w:lineRule="auto"/>
      <w:jc w:val="right"/>
    </w:pPr>
    <w:rPr>
      <w:rFonts w:ascii="宋体"/>
      <w:sz w:val="18"/>
      <w:szCs w:val="18"/>
    </w:rPr>
  </w:style>
  <w:style w:type="paragraph" w:styleId="21">
    <w:name w:val="header"/>
    <w:basedOn w:val="1"/>
    <w:link w:val="50"/>
    <w:qFormat/>
    <w:uiPriority w:val="99"/>
    <w:pPr>
      <w:tabs>
        <w:tab w:val="center" w:pos="4153"/>
        <w:tab w:val="right" w:pos="8306"/>
      </w:tabs>
      <w:adjustRightInd/>
      <w:snapToGrid w:val="0"/>
      <w:jc w:val="center"/>
    </w:pPr>
    <w:rPr>
      <w:sz w:val="18"/>
      <w:szCs w:val="18"/>
    </w:rPr>
  </w:style>
  <w:style w:type="paragraph" w:styleId="22">
    <w:name w:val="toc 1"/>
    <w:basedOn w:val="1"/>
    <w:next w:val="1"/>
    <w:unhideWhenUsed/>
    <w:qFormat/>
    <w:uiPriority w:val="39"/>
    <w:rPr>
      <w:rFonts w:ascii="宋体"/>
    </w:rPr>
  </w:style>
  <w:style w:type="paragraph" w:styleId="23">
    <w:name w:val="toc 4"/>
    <w:basedOn w:val="1"/>
    <w:next w:val="1"/>
    <w:unhideWhenUsed/>
    <w:qFormat/>
    <w:uiPriority w:val="39"/>
    <w:pPr>
      <w:tabs>
        <w:tab w:val="right" w:leader="dot" w:pos="9344"/>
      </w:tabs>
      <w:spacing w:line="300" w:lineRule="exact"/>
      <w:ind w:left="629"/>
    </w:pPr>
    <w:rPr>
      <w:rFonts w:ascii="宋体"/>
    </w:rPr>
  </w:style>
  <w:style w:type="paragraph" w:styleId="24">
    <w:name w:val="List"/>
    <w:basedOn w:val="1"/>
    <w:unhideWhenUsed/>
    <w:qFormat/>
    <w:uiPriority w:val="0"/>
    <w:pPr>
      <w:ind w:left="200" w:hanging="200" w:hangingChars="200"/>
    </w:pPr>
  </w:style>
  <w:style w:type="paragraph" w:styleId="25">
    <w:name w:val="footnote text"/>
    <w:basedOn w:val="1"/>
    <w:next w:val="1"/>
    <w:link w:val="106"/>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6">
    <w:name w:val="toc 6"/>
    <w:basedOn w:val="1"/>
    <w:next w:val="1"/>
    <w:unhideWhenUsed/>
    <w:qFormat/>
    <w:uiPriority w:val="39"/>
    <w:pPr>
      <w:spacing w:line="300" w:lineRule="exact"/>
      <w:ind w:left="1049"/>
    </w:pPr>
    <w:rPr>
      <w:rFonts w:ascii="宋体"/>
    </w:rPr>
  </w:style>
  <w:style w:type="paragraph" w:styleId="27">
    <w:name w:val="table of figures"/>
    <w:basedOn w:val="1"/>
    <w:next w:val="1"/>
    <w:semiHidden/>
    <w:qFormat/>
    <w:uiPriority w:val="0"/>
    <w:pPr>
      <w:adjustRightInd/>
      <w:spacing w:line="240" w:lineRule="auto"/>
      <w:jc w:val="left"/>
    </w:pPr>
    <w:rPr>
      <w:szCs w:val="24"/>
    </w:rPr>
  </w:style>
  <w:style w:type="paragraph" w:styleId="28">
    <w:name w:val="toc 2"/>
    <w:basedOn w:val="1"/>
    <w:next w:val="1"/>
    <w:unhideWhenUsed/>
    <w:qFormat/>
    <w:uiPriority w:val="39"/>
    <w:pPr>
      <w:tabs>
        <w:tab w:val="right" w:leader="dot" w:pos="9344"/>
      </w:tabs>
      <w:spacing w:line="300" w:lineRule="exact"/>
      <w:ind w:left="210"/>
    </w:pPr>
    <w:rPr>
      <w:rFonts w:ascii="宋体"/>
    </w:rPr>
  </w:style>
  <w:style w:type="paragraph" w:styleId="29">
    <w:name w:val="Normal (Web)"/>
    <w:basedOn w:val="1"/>
    <w:semiHidden/>
    <w:unhideWhenUsed/>
    <w:qFormat/>
    <w:uiPriority w:val="99"/>
    <w:rPr>
      <w:sz w:val="24"/>
    </w:rPr>
  </w:style>
  <w:style w:type="paragraph" w:styleId="30">
    <w:name w:val="Title"/>
    <w:basedOn w:val="1"/>
    <w:link w:val="55"/>
    <w:qFormat/>
    <w:uiPriority w:val="0"/>
    <w:pPr>
      <w:spacing w:before="240" w:after="60"/>
      <w:jc w:val="center"/>
      <w:outlineLvl w:val="0"/>
    </w:pPr>
    <w:rPr>
      <w:rFonts w:ascii="Arial" w:hAnsi="Arial" w:cs="Arial"/>
      <w:b/>
      <w:bCs/>
      <w:sz w:val="32"/>
      <w:szCs w:val="32"/>
    </w:rPr>
  </w:style>
  <w:style w:type="paragraph" w:styleId="31">
    <w:name w:val="annotation subject"/>
    <w:basedOn w:val="15"/>
    <w:next w:val="15"/>
    <w:link w:val="243"/>
    <w:semiHidden/>
    <w:unhideWhenUsed/>
    <w:qFormat/>
    <w:uiPriority w:val="99"/>
    <w:rPr>
      <w:b/>
      <w:bCs/>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22"/>
    <w:rPr>
      <w:b/>
      <w:bCs/>
    </w:rPr>
  </w:style>
  <w:style w:type="character" w:styleId="36">
    <w:name w:val="page number"/>
    <w:qFormat/>
    <w:uiPriority w:val="0"/>
    <w:rPr>
      <w:rFonts w:ascii="宋体" w:hAnsi="Times New Roman" w:eastAsia="宋体"/>
      <w:sz w:val="18"/>
    </w:rPr>
  </w:style>
  <w:style w:type="character" w:styleId="37">
    <w:name w:val="Emphasis"/>
    <w:qFormat/>
    <w:uiPriority w:val="20"/>
    <w:rPr>
      <w:i/>
      <w:iCs/>
    </w:rPr>
  </w:style>
  <w:style w:type="character" w:styleId="38">
    <w:name w:val="Hyperlink"/>
    <w:qFormat/>
    <w:uiPriority w:val="99"/>
    <w:rPr>
      <w:rFonts w:ascii="宋体" w:hAnsi="Times New Roman" w:eastAsia="宋体"/>
      <w:color w:val="auto"/>
      <w:spacing w:val="0"/>
      <w:w w:val="100"/>
      <w:position w:val="0"/>
      <w:sz w:val="21"/>
      <w:u w:val="none"/>
      <w:vertAlign w:val="baseline"/>
    </w:rPr>
  </w:style>
  <w:style w:type="character" w:styleId="39">
    <w:name w:val="annotation reference"/>
    <w:basedOn w:val="34"/>
    <w:semiHidden/>
    <w:unhideWhenUsed/>
    <w:qFormat/>
    <w:uiPriority w:val="99"/>
    <w:rPr>
      <w:sz w:val="21"/>
      <w:szCs w:val="21"/>
    </w:rPr>
  </w:style>
  <w:style w:type="character" w:styleId="40">
    <w:name w:val="footnote reference"/>
    <w:semiHidden/>
    <w:qFormat/>
    <w:uiPriority w:val="0"/>
    <w:rPr>
      <w:rFonts w:ascii="宋体" w:hAnsi="宋体" w:eastAsia="宋体" w:cs="Times New Roman"/>
      <w:spacing w:val="0"/>
      <w:sz w:val="18"/>
      <w:vertAlign w:val="superscript"/>
    </w:rPr>
  </w:style>
  <w:style w:type="character" w:customStyle="1" w:styleId="41">
    <w:name w:val="标题 2 字符"/>
    <w:link w:val="5"/>
    <w:qFormat/>
    <w:uiPriority w:val="0"/>
    <w:rPr>
      <w:rFonts w:ascii="Arial" w:hAnsi="Arial" w:eastAsia="黑体"/>
      <w:b/>
      <w:bCs/>
      <w:kern w:val="2"/>
      <w:sz w:val="32"/>
      <w:szCs w:val="32"/>
    </w:rPr>
  </w:style>
  <w:style w:type="character" w:customStyle="1" w:styleId="42">
    <w:name w:val="标题 1 字符"/>
    <w:link w:val="4"/>
    <w:qFormat/>
    <w:uiPriority w:val="0"/>
    <w:rPr>
      <w:b/>
      <w:bCs/>
      <w:kern w:val="44"/>
      <w:sz w:val="44"/>
      <w:szCs w:val="44"/>
    </w:rPr>
  </w:style>
  <w:style w:type="character" w:customStyle="1" w:styleId="43">
    <w:name w:val="标题 3 字符"/>
    <w:link w:val="6"/>
    <w:qFormat/>
    <w:uiPriority w:val="0"/>
    <w:rPr>
      <w:b/>
      <w:bCs/>
      <w:kern w:val="2"/>
      <w:sz w:val="32"/>
      <w:szCs w:val="32"/>
    </w:rPr>
  </w:style>
  <w:style w:type="character" w:customStyle="1" w:styleId="44">
    <w:name w:val="标题 4 字符"/>
    <w:link w:val="7"/>
    <w:qFormat/>
    <w:uiPriority w:val="0"/>
    <w:rPr>
      <w:rFonts w:ascii="Arial" w:hAnsi="Arial" w:eastAsia="黑体"/>
      <w:b/>
      <w:bCs/>
      <w:kern w:val="2"/>
      <w:sz w:val="28"/>
      <w:szCs w:val="28"/>
    </w:rPr>
  </w:style>
  <w:style w:type="character" w:customStyle="1" w:styleId="45">
    <w:name w:val="标题 5 字符"/>
    <w:link w:val="8"/>
    <w:qFormat/>
    <w:uiPriority w:val="0"/>
    <w:rPr>
      <w:b/>
      <w:bCs/>
      <w:kern w:val="2"/>
      <w:sz w:val="28"/>
      <w:szCs w:val="28"/>
    </w:rPr>
  </w:style>
  <w:style w:type="character" w:customStyle="1" w:styleId="46">
    <w:name w:val="标题 6 字符"/>
    <w:link w:val="9"/>
    <w:qFormat/>
    <w:uiPriority w:val="0"/>
    <w:rPr>
      <w:rFonts w:ascii="Arial" w:hAnsi="Arial" w:eastAsia="黑体"/>
      <w:b/>
      <w:bCs/>
      <w:kern w:val="2"/>
      <w:sz w:val="24"/>
      <w:szCs w:val="24"/>
    </w:rPr>
  </w:style>
  <w:style w:type="character" w:customStyle="1" w:styleId="47">
    <w:name w:val="标题 7 字符"/>
    <w:link w:val="10"/>
    <w:qFormat/>
    <w:uiPriority w:val="0"/>
    <w:rPr>
      <w:b/>
      <w:bCs/>
      <w:kern w:val="2"/>
      <w:sz w:val="24"/>
      <w:szCs w:val="24"/>
    </w:rPr>
  </w:style>
  <w:style w:type="character" w:customStyle="1" w:styleId="48">
    <w:name w:val="标题 8 字符"/>
    <w:link w:val="11"/>
    <w:qFormat/>
    <w:uiPriority w:val="0"/>
    <w:rPr>
      <w:rFonts w:ascii="Arial" w:hAnsi="Arial" w:eastAsia="黑体"/>
      <w:kern w:val="2"/>
      <w:sz w:val="24"/>
      <w:szCs w:val="24"/>
    </w:rPr>
  </w:style>
  <w:style w:type="character" w:customStyle="1" w:styleId="49">
    <w:name w:val="标题 9 字符"/>
    <w:link w:val="12"/>
    <w:qFormat/>
    <w:uiPriority w:val="0"/>
    <w:rPr>
      <w:rFonts w:ascii="Arial" w:hAnsi="Arial" w:eastAsia="黑体"/>
      <w:kern w:val="2"/>
      <w:sz w:val="21"/>
      <w:szCs w:val="21"/>
    </w:rPr>
  </w:style>
  <w:style w:type="character" w:customStyle="1" w:styleId="50">
    <w:name w:val="页眉 字符"/>
    <w:link w:val="21"/>
    <w:qFormat/>
    <w:uiPriority w:val="99"/>
    <w:rPr>
      <w:kern w:val="2"/>
      <w:sz w:val="18"/>
      <w:szCs w:val="18"/>
    </w:rPr>
  </w:style>
  <w:style w:type="character" w:customStyle="1" w:styleId="51">
    <w:name w:val="页脚 字符"/>
    <w:link w:val="20"/>
    <w:qFormat/>
    <w:uiPriority w:val="99"/>
    <w:rPr>
      <w:rFonts w:ascii="宋体"/>
      <w:kern w:val="2"/>
      <w:sz w:val="18"/>
      <w:szCs w:val="18"/>
    </w:rPr>
  </w:style>
  <w:style w:type="character" w:customStyle="1" w:styleId="52">
    <w:name w:val="批注框文本 字符"/>
    <w:link w:val="19"/>
    <w:semiHidden/>
    <w:qFormat/>
    <w:uiPriority w:val="99"/>
    <w:rPr>
      <w:kern w:val="2"/>
      <w:sz w:val="18"/>
      <w:szCs w:val="18"/>
    </w:rPr>
  </w:style>
  <w:style w:type="paragraph" w:styleId="53">
    <w:name w:val="Quote"/>
    <w:basedOn w:val="1"/>
    <w:next w:val="1"/>
    <w:link w:val="54"/>
    <w:qFormat/>
    <w:uiPriority w:val="29"/>
    <w:rPr>
      <w:i/>
      <w:iCs/>
      <w:color w:val="000000"/>
    </w:rPr>
  </w:style>
  <w:style w:type="character" w:customStyle="1" w:styleId="54">
    <w:name w:val="引用 字符"/>
    <w:link w:val="53"/>
    <w:qFormat/>
    <w:uiPriority w:val="29"/>
    <w:rPr>
      <w:i/>
      <w:iCs/>
      <w:color w:val="000000"/>
      <w:kern w:val="2"/>
      <w:sz w:val="21"/>
      <w:szCs w:val="21"/>
    </w:rPr>
  </w:style>
  <w:style w:type="character" w:customStyle="1" w:styleId="55">
    <w:name w:val="标题 字符"/>
    <w:link w:val="30"/>
    <w:qFormat/>
    <w:uiPriority w:val="0"/>
    <w:rPr>
      <w:rFonts w:ascii="Arial" w:hAnsi="Arial" w:cs="Arial"/>
      <w:b/>
      <w:bCs/>
      <w:kern w:val="2"/>
      <w:sz w:val="32"/>
      <w:szCs w:val="32"/>
    </w:rPr>
  </w:style>
  <w:style w:type="paragraph" w:customStyle="1" w:styleId="56">
    <w:name w:val="标准标志"/>
    <w:next w:val="1"/>
    <w:link w:val="238"/>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7">
    <w:name w:val="标准称谓"/>
    <w:next w:val="1"/>
    <w:link w:val="237"/>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8">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9">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60">
    <w:name w:val="标准书眉一"/>
    <w:qFormat/>
    <w:uiPriority w:val="0"/>
    <w:pPr>
      <w:jc w:val="both"/>
    </w:pPr>
    <w:rPr>
      <w:rFonts w:ascii="Times New Roman" w:hAnsi="Times New Roman" w:eastAsia="宋体" w:cs="Times New Roman"/>
      <w:lang w:val="en-US" w:eastAsia="zh-CN" w:bidi="ar-SA"/>
    </w:rPr>
  </w:style>
  <w:style w:type="paragraph" w:customStyle="1" w:styleId="61">
    <w:name w:val="标准文件_ICS"/>
    <w:basedOn w:val="1"/>
    <w:qFormat/>
    <w:uiPriority w:val="0"/>
    <w:pPr>
      <w:spacing w:line="0" w:lineRule="atLeast"/>
    </w:pPr>
    <w:rPr>
      <w:rFonts w:ascii="黑体" w:hAnsi="宋体" w:eastAsia="黑体"/>
    </w:rPr>
  </w:style>
  <w:style w:type="paragraph" w:customStyle="1" w:styleId="62">
    <w:name w:val="标准文件_标准正文"/>
    <w:basedOn w:val="1"/>
    <w:next w:val="63"/>
    <w:qFormat/>
    <w:uiPriority w:val="0"/>
    <w:pPr>
      <w:snapToGrid w:val="0"/>
      <w:ind w:firstLine="200" w:firstLineChars="200"/>
    </w:pPr>
    <w:rPr>
      <w:kern w:val="0"/>
    </w:rPr>
  </w:style>
  <w:style w:type="paragraph" w:customStyle="1" w:styleId="63">
    <w:name w:val="标准文件_段"/>
    <w:link w:val="191"/>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4">
    <w:name w:val="标准文件_版本"/>
    <w:basedOn w:val="62"/>
    <w:qFormat/>
    <w:uiPriority w:val="0"/>
    <w:pPr>
      <w:adjustRightInd/>
      <w:snapToGrid/>
      <w:ind w:firstLine="0" w:firstLineChars="0"/>
    </w:pPr>
    <w:rPr>
      <w:rFonts w:ascii="宋体" w:hAnsi="宋体"/>
      <w:kern w:val="2"/>
    </w:rPr>
  </w:style>
  <w:style w:type="paragraph" w:customStyle="1" w:styleId="65">
    <w:name w:val="标准文件_标准部门"/>
    <w:basedOn w:val="1"/>
    <w:qFormat/>
    <w:uiPriority w:val="0"/>
    <w:pPr>
      <w:jc w:val="center"/>
    </w:pPr>
    <w:rPr>
      <w:rFonts w:ascii="黑体" w:eastAsia="黑体"/>
      <w:kern w:val="0"/>
      <w:sz w:val="44"/>
    </w:rPr>
  </w:style>
  <w:style w:type="paragraph" w:customStyle="1" w:styleId="66">
    <w:name w:val="标准文件_标准代替"/>
    <w:basedOn w:val="1"/>
    <w:next w:val="1"/>
    <w:qFormat/>
    <w:uiPriority w:val="0"/>
    <w:pPr>
      <w:spacing w:line="310" w:lineRule="exact"/>
      <w:jc w:val="right"/>
    </w:pPr>
    <w:rPr>
      <w:rFonts w:ascii="宋体" w:hAnsi="宋体"/>
      <w:kern w:val="0"/>
    </w:rPr>
  </w:style>
  <w:style w:type="paragraph" w:customStyle="1" w:styleId="67">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8">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9">
    <w:name w:val="标准文件_页眉偶数页"/>
    <w:basedOn w:val="68"/>
    <w:next w:val="1"/>
    <w:qFormat/>
    <w:uiPriority w:val="0"/>
    <w:pPr>
      <w:jc w:val="left"/>
    </w:pPr>
  </w:style>
  <w:style w:type="paragraph" w:customStyle="1" w:styleId="70">
    <w:name w:val="标准文件_参考文献标题"/>
    <w:basedOn w:val="1"/>
    <w:next w:val="1"/>
    <w:qFormat/>
    <w:uiPriority w:val="0"/>
    <w:pPr>
      <w:widowControl/>
      <w:shd w:val="clear" w:color="FFFFFF" w:fill="FFFFFF"/>
      <w:adjustRightInd/>
      <w:spacing w:before="560" w:after="280" w:line="240" w:lineRule="auto"/>
      <w:jc w:val="center"/>
      <w:outlineLvl w:val="0"/>
    </w:pPr>
    <w:rPr>
      <w:rFonts w:ascii="黑体" w:hAnsi="黑体" w:eastAsia="黑体"/>
      <w:kern w:val="0"/>
    </w:rPr>
  </w:style>
  <w:style w:type="paragraph" w:customStyle="1" w:styleId="71">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2">
    <w:name w:val="标准文件_二级条标题"/>
    <w:next w:val="63"/>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3">
    <w:name w:val="标准文件_发布"/>
    <w:qFormat/>
    <w:uiPriority w:val="0"/>
    <w:rPr>
      <w:rFonts w:ascii="黑体" w:eastAsia="黑体"/>
      <w:spacing w:val="0"/>
      <w:w w:val="100"/>
      <w:position w:val="3"/>
      <w:sz w:val="28"/>
    </w:rPr>
  </w:style>
  <w:style w:type="paragraph" w:customStyle="1" w:styleId="74">
    <w:name w:val="标准文件_方框数字列项"/>
    <w:basedOn w:val="63"/>
    <w:qFormat/>
    <w:uiPriority w:val="0"/>
    <w:pPr>
      <w:numPr>
        <w:ilvl w:val="0"/>
        <w:numId w:val="3"/>
      </w:numPr>
      <w:ind w:firstLine="0" w:firstLineChars="0"/>
    </w:pPr>
  </w:style>
  <w:style w:type="paragraph" w:customStyle="1" w:styleId="75">
    <w:name w:val="标准文件_封面标准编号"/>
    <w:basedOn w:val="1"/>
    <w:next w:val="66"/>
    <w:qFormat/>
    <w:uiPriority w:val="0"/>
    <w:pPr>
      <w:spacing w:line="310" w:lineRule="exact"/>
      <w:jc w:val="right"/>
    </w:pPr>
    <w:rPr>
      <w:rFonts w:ascii="黑体" w:eastAsia="黑体"/>
      <w:kern w:val="0"/>
      <w:sz w:val="28"/>
    </w:rPr>
  </w:style>
  <w:style w:type="paragraph" w:customStyle="1" w:styleId="76">
    <w:name w:val="标准文件_封面标准分类号"/>
    <w:basedOn w:val="1"/>
    <w:qFormat/>
    <w:uiPriority w:val="0"/>
    <w:rPr>
      <w:rFonts w:ascii="黑体" w:eastAsia="黑体"/>
      <w:b/>
      <w:kern w:val="0"/>
      <w:sz w:val="28"/>
    </w:rPr>
  </w:style>
  <w:style w:type="paragraph" w:customStyle="1" w:styleId="77">
    <w:name w:val="标准文件_封面标准名称"/>
    <w:basedOn w:val="1"/>
    <w:qFormat/>
    <w:uiPriority w:val="0"/>
    <w:pPr>
      <w:spacing w:line="240" w:lineRule="auto"/>
      <w:jc w:val="center"/>
    </w:pPr>
    <w:rPr>
      <w:rFonts w:ascii="黑体" w:eastAsia="黑体"/>
      <w:kern w:val="0"/>
      <w:sz w:val="52"/>
    </w:rPr>
  </w:style>
  <w:style w:type="paragraph" w:customStyle="1" w:styleId="78">
    <w:name w:val="标准文件_封面标准英文名称"/>
    <w:basedOn w:val="1"/>
    <w:qFormat/>
    <w:uiPriority w:val="0"/>
    <w:pPr>
      <w:spacing w:line="240" w:lineRule="auto"/>
      <w:jc w:val="center"/>
    </w:pPr>
    <w:rPr>
      <w:rFonts w:ascii="黑体" w:eastAsia="黑体"/>
      <w:b/>
      <w:sz w:val="28"/>
    </w:rPr>
  </w:style>
  <w:style w:type="paragraph" w:customStyle="1" w:styleId="79">
    <w:name w:val="标准文件_封面发布日期"/>
    <w:basedOn w:val="1"/>
    <w:qFormat/>
    <w:uiPriority w:val="0"/>
    <w:pPr>
      <w:spacing w:line="310" w:lineRule="exact"/>
    </w:pPr>
    <w:rPr>
      <w:rFonts w:ascii="黑体" w:eastAsia="黑体"/>
      <w:kern w:val="0"/>
      <w:sz w:val="28"/>
    </w:rPr>
  </w:style>
  <w:style w:type="paragraph" w:customStyle="1" w:styleId="80">
    <w:name w:val="标准文件_封面密级"/>
    <w:basedOn w:val="1"/>
    <w:qFormat/>
    <w:uiPriority w:val="0"/>
    <w:rPr>
      <w:rFonts w:eastAsia="黑体"/>
      <w:sz w:val="32"/>
    </w:rPr>
  </w:style>
  <w:style w:type="paragraph" w:customStyle="1" w:styleId="81">
    <w:name w:val="标准文件_封面实施日期"/>
    <w:basedOn w:val="1"/>
    <w:qFormat/>
    <w:uiPriority w:val="0"/>
    <w:pPr>
      <w:spacing w:line="310" w:lineRule="exact"/>
      <w:jc w:val="right"/>
    </w:pPr>
    <w:rPr>
      <w:rFonts w:ascii="黑体" w:eastAsia="黑体"/>
      <w:sz w:val="28"/>
    </w:rPr>
  </w:style>
  <w:style w:type="paragraph" w:customStyle="1" w:styleId="82">
    <w:name w:val="标准文件_封面抬头"/>
    <w:basedOn w:val="63"/>
    <w:qFormat/>
    <w:uiPriority w:val="0"/>
    <w:pPr>
      <w:adjustRightInd w:val="0"/>
      <w:spacing w:line="800" w:lineRule="exact"/>
      <w:ind w:firstLine="0" w:firstLineChars="0"/>
      <w:jc w:val="distribute"/>
    </w:pPr>
    <w:rPr>
      <w:rFonts w:ascii="黑体" w:eastAsia="黑体"/>
      <w:b/>
      <w:sz w:val="64"/>
    </w:rPr>
  </w:style>
  <w:style w:type="paragraph" w:customStyle="1" w:styleId="83">
    <w:name w:val="标准文件_附录标识"/>
    <w:next w:val="63"/>
    <w:qFormat/>
    <w:uiPriority w:val="0"/>
    <w:pPr>
      <w:numPr>
        <w:ilvl w:val="0"/>
        <w:numId w:val="4"/>
      </w:numPr>
      <w:shd w:val="clear" w:color="FFFFFF" w:fill="FFFFFF"/>
      <w:tabs>
        <w:tab w:val="left" w:pos="6406"/>
      </w:tabs>
      <w:spacing w:before="560" w:after="280"/>
      <w:jc w:val="center"/>
      <w:outlineLvl w:val="0"/>
    </w:pPr>
    <w:rPr>
      <w:rFonts w:ascii="黑体" w:hAnsi="黑体" w:eastAsia="黑体" w:cs="Times New Roman"/>
      <w:sz w:val="21"/>
      <w:lang w:val="en-US" w:eastAsia="zh-CN" w:bidi="ar-SA"/>
    </w:rPr>
  </w:style>
  <w:style w:type="paragraph" w:customStyle="1" w:styleId="84">
    <w:name w:val="标准文件_附录表标题"/>
    <w:next w:val="63"/>
    <w:qFormat/>
    <w:uiPriority w:val="0"/>
    <w:pPr>
      <w:numPr>
        <w:ilvl w:val="1"/>
        <w:numId w:val="5"/>
      </w:numPr>
      <w:adjustRightInd w:val="0"/>
      <w:snapToGrid w:val="0"/>
      <w:spacing w:before="50" w:beforeLines="50" w:after="50" w:afterLines="50"/>
      <w:jc w:val="center"/>
      <w:textAlignment w:val="baseline"/>
    </w:pPr>
    <w:rPr>
      <w:rFonts w:ascii="黑体" w:hAnsi="黑体" w:eastAsia="黑体" w:cs="Times New Roman"/>
      <w:kern w:val="21"/>
      <w:sz w:val="21"/>
      <w:lang w:val="en-US" w:eastAsia="zh-CN" w:bidi="ar-SA"/>
    </w:rPr>
  </w:style>
  <w:style w:type="paragraph" w:customStyle="1" w:styleId="85">
    <w:name w:val="标准文件_附录一级条标题"/>
    <w:next w:val="63"/>
    <w:qFormat/>
    <w:uiPriority w:val="0"/>
    <w:pPr>
      <w:widowControl w:val="0"/>
      <w:numPr>
        <w:ilvl w:val="1"/>
        <w:numId w:val="4"/>
      </w:numPr>
      <w:spacing w:before="50" w:beforeLines="50" w:after="50" w:afterLines="50"/>
      <w:jc w:val="both"/>
      <w:outlineLvl w:val="1"/>
    </w:pPr>
    <w:rPr>
      <w:rFonts w:ascii="黑体" w:hAnsi="黑体" w:eastAsia="黑体" w:cs="Times New Roman"/>
      <w:kern w:val="21"/>
      <w:sz w:val="21"/>
      <w:lang w:val="en-US" w:eastAsia="zh-CN" w:bidi="ar-SA"/>
    </w:rPr>
  </w:style>
  <w:style w:type="paragraph" w:customStyle="1" w:styleId="86">
    <w:name w:val="标准文件_附录二级条标题"/>
    <w:basedOn w:val="85"/>
    <w:next w:val="63"/>
    <w:qFormat/>
    <w:uiPriority w:val="0"/>
    <w:pPr>
      <w:widowControl/>
      <w:numPr>
        <w:ilvl w:val="2"/>
      </w:numPr>
      <w:wordWrap w:val="0"/>
      <w:overflowPunct w:val="0"/>
      <w:autoSpaceDE w:val="0"/>
      <w:autoSpaceDN w:val="0"/>
      <w:textAlignment w:val="baseline"/>
      <w:outlineLvl w:val="2"/>
    </w:pPr>
  </w:style>
  <w:style w:type="paragraph" w:customStyle="1" w:styleId="87">
    <w:name w:val="标准文件_附录公式"/>
    <w:basedOn w:val="62"/>
    <w:next w:val="62"/>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8">
    <w:name w:val="标准文件_附录三级条标题"/>
    <w:next w:val="63"/>
    <w:qFormat/>
    <w:uiPriority w:val="0"/>
    <w:pPr>
      <w:widowControl w:val="0"/>
      <w:numPr>
        <w:ilvl w:val="3"/>
        <w:numId w:val="4"/>
      </w:numPr>
      <w:spacing w:before="50" w:beforeLines="50" w:after="50" w:afterLines="50"/>
      <w:jc w:val="both"/>
      <w:outlineLvl w:val="3"/>
    </w:pPr>
    <w:rPr>
      <w:rFonts w:ascii="黑体" w:hAnsi="黑体" w:eastAsia="黑体" w:cs="Times New Roman"/>
      <w:kern w:val="21"/>
      <w:sz w:val="21"/>
      <w:lang w:val="en-US" w:eastAsia="zh-CN" w:bidi="ar-SA"/>
    </w:rPr>
  </w:style>
  <w:style w:type="paragraph" w:customStyle="1" w:styleId="89">
    <w:name w:val="标准文件_附录四级条标题"/>
    <w:next w:val="63"/>
    <w:qFormat/>
    <w:uiPriority w:val="0"/>
    <w:pPr>
      <w:widowControl w:val="0"/>
      <w:numPr>
        <w:ilvl w:val="4"/>
        <w:numId w:val="4"/>
      </w:numPr>
      <w:spacing w:before="50" w:beforeLines="50" w:after="50" w:afterLines="50"/>
      <w:jc w:val="both"/>
      <w:outlineLvl w:val="4"/>
    </w:pPr>
    <w:rPr>
      <w:rFonts w:ascii="黑体" w:hAnsi="黑体" w:eastAsia="黑体" w:cs="Times New Roman"/>
      <w:kern w:val="21"/>
      <w:sz w:val="21"/>
      <w:lang w:val="en-US" w:eastAsia="zh-CN" w:bidi="ar-SA"/>
    </w:rPr>
  </w:style>
  <w:style w:type="paragraph" w:customStyle="1" w:styleId="90">
    <w:name w:val="标准文件_附录图标题"/>
    <w:next w:val="63"/>
    <w:qFormat/>
    <w:uiPriority w:val="0"/>
    <w:pPr>
      <w:numPr>
        <w:ilvl w:val="1"/>
        <w:numId w:val="6"/>
      </w:numPr>
      <w:adjustRightInd w:val="0"/>
      <w:snapToGrid w:val="0"/>
      <w:spacing w:before="50" w:beforeLines="50" w:after="50" w:afterLines="50"/>
      <w:jc w:val="center"/>
    </w:pPr>
    <w:rPr>
      <w:rFonts w:ascii="黑体" w:hAnsi="黑体" w:eastAsia="黑体" w:cs="Times New Roman"/>
      <w:sz w:val="21"/>
      <w:lang w:val="en-US" w:eastAsia="zh-CN" w:bidi="ar-SA"/>
    </w:rPr>
  </w:style>
  <w:style w:type="paragraph" w:customStyle="1" w:styleId="91">
    <w:name w:val="标准文件_附录五级条标题"/>
    <w:next w:val="63"/>
    <w:qFormat/>
    <w:uiPriority w:val="0"/>
    <w:pPr>
      <w:widowControl w:val="0"/>
      <w:numPr>
        <w:ilvl w:val="5"/>
        <w:numId w:val="4"/>
      </w:numPr>
      <w:spacing w:before="50" w:beforeLines="50" w:after="50" w:afterLines="50"/>
      <w:jc w:val="both"/>
      <w:outlineLvl w:val="5"/>
    </w:pPr>
    <w:rPr>
      <w:rFonts w:ascii="黑体" w:hAnsi="黑体" w:eastAsia="黑体" w:cs="Times New Roman"/>
      <w:kern w:val="21"/>
      <w:sz w:val="21"/>
      <w:lang w:val="en-US" w:eastAsia="zh-CN" w:bidi="ar-SA"/>
    </w:rPr>
  </w:style>
  <w:style w:type="paragraph" w:customStyle="1" w:styleId="92">
    <w:name w:val="标准文件_附录英文标识"/>
    <w:next w:val="16"/>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3">
    <w:name w:val="正文文本 字符"/>
    <w:link w:val="16"/>
    <w:qFormat/>
    <w:uiPriority w:val="0"/>
    <w:rPr>
      <w:kern w:val="2"/>
      <w:sz w:val="21"/>
      <w:szCs w:val="21"/>
    </w:rPr>
  </w:style>
  <w:style w:type="paragraph" w:customStyle="1" w:styleId="94">
    <w:name w:val="标准文件_附录章标题"/>
    <w:next w:val="63"/>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5">
    <w:name w:val="标准文件_公式后的破折号"/>
    <w:basedOn w:val="63"/>
    <w:next w:val="63"/>
    <w:qFormat/>
    <w:uiPriority w:val="0"/>
    <w:pPr>
      <w:ind w:left="488" w:leftChars="200" w:hanging="289" w:hangingChars="290"/>
    </w:pPr>
  </w:style>
  <w:style w:type="paragraph" w:customStyle="1" w:styleId="96">
    <w:name w:val="标准文件_前言、引言标题"/>
    <w:next w:val="1"/>
    <w:qFormat/>
    <w:uiPriority w:val="0"/>
    <w:pPr>
      <w:numPr>
        <w:ilvl w:val="0"/>
        <w:numId w:val="8"/>
      </w:numPr>
      <w:shd w:val="clear" w:color="FFFFFF" w:fill="FFFFFF"/>
      <w:spacing w:before="560" w:after="680"/>
      <w:jc w:val="center"/>
      <w:outlineLvl w:val="0"/>
    </w:pPr>
    <w:rPr>
      <w:rFonts w:ascii="黑体" w:hAnsi="黑体" w:eastAsia="黑体" w:cs="Times New Roman"/>
      <w:sz w:val="32"/>
      <w:lang w:val="en-US" w:eastAsia="zh-CN" w:bidi="ar-SA"/>
    </w:rPr>
  </w:style>
  <w:style w:type="paragraph" w:customStyle="1" w:styleId="97">
    <w:name w:val="标准文件_目次、标准名称标题"/>
    <w:basedOn w:val="96"/>
    <w:next w:val="63"/>
    <w:qFormat/>
    <w:uiPriority w:val="0"/>
    <w:pPr>
      <w:spacing w:line="460" w:lineRule="exact"/>
      <w:ind w:left="0" w:firstLine="0"/>
    </w:pPr>
  </w:style>
  <w:style w:type="paragraph" w:customStyle="1" w:styleId="98">
    <w:name w:val="标准文件_目录标题"/>
    <w:basedOn w:val="1"/>
    <w:qFormat/>
    <w:uiPriority w:val="0"/>
    <w:pPr>
      <w:spacing w:before="560" w:after="680" w:line="240" w:lineRule="auto"/>
      <w:jc w:val="center"/>
    </w:pPr>
    <w:rPr>
      <w:rFonts w:ascii="黑体" w:hAnsi="黑体" w:eastAsia="黑体"/>
      <w:sz w:val="32"/>
    </w:rPr>
  </w:style>
  <w:style w:type="paragraph" w:customStyle="1" w:styleId="99">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100">
    <w:name w:val="标准文件_破折号列项（二级）"/>
    <w:basedOn w:val="99"/>
    <w:qFormat/>
    <w:uiPriority w:val="0"/>
    <w:pPr>
      <w:numPr>
        <w:numId w:val="10"/>
      </w:numPr>
    </w:pPr>
  </w:style>
  <w:style w:type="paragraph" w:customStyle="1" w:styleId="101">
    <w:name w:val="标准文件_三级条标题"/>
    <w:basedOn w:val="72"/>
    <w:next w:val="63"/>
    <w:qFormat/>
    <w:uiPriority w:val="0"/>
    <w:pPr>
      <w:widowControl/>
      <w:numPr>
        <w:ilvl w:val="4"/>
      </w:numPr>
      <w:outlineLvl w:val="3"/>
    </w:pPr>
  </w:style>
  <w:style w:type="character" w:customStyle="1" w:styleId="102">
    <w:name w:val="不明显参考1"/>
    <w:qFormat/>
    <w:uiPriority w:val="31"/>
    <w:rPr>
      <w:smallCaps/>
      <w:color w:val="C0504D"/>
      <w:u w:val="single"/>
    </w:rPr>
  </w:style>
  <w:style w:type="paragraph" w:customStyle="1" w:styleId="103">
    <w:name w:val="标准文件_示例后续"/>
    <w:basedOn w:val="1"/>
    <w:qFormat/>
    <w:uiPriority w:val="0"/>
    <w:pPr>
      <w:adjustRightInd/>
      <w:spacing w:line="240" w:lineRule="auto"/>
      <w:ind w:firstLine="200" w:firstLineChars="200"/>
    </w:pPr>
    <w:rPr>
      <w:sz w:val="18"/>
      <w:szCs w:val="24"/>
    </w:rPr>
  </w:style>
  <w:style w:type="paragraph" w:customStyle="1" w:styleId="104">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5">
    <w:name w:val="标准文件_四级条标题"/>
    <w:next w:val="63"/>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6">
    <w:name w:val="脚注文本 字符"/>
    <w:link w:val="25"/>
    <w:semiHidden/>
    <w:qFormat/>
    <w:uiPriority w:val="0"/>
    <w:rPr>
      <w:rFonts w:ascii="宋体"/>
      <w:kern w:val="2"/>
      <w:sz w:val="18"/>
      <w:szCs w:val="18"/>
    </w:rPr>
  </w:style>
  <w:style w:type="paragraph" w:customStyle="1" w:styleId="107">
    <w:name w:val="标准文件_条文脚注"/>
    <w:basedOn w:val="25"/>
    <w:qFormat/>
    <w:uiPriority w:val="0"/>
    <w:pPr>
      <w:adjustRightInd w:val="0"/>
      <w:spacing w:line="240" w:lineRule="auto"/>
      <w:ind w:left="0" w:leftChars="0" w:firstLine="200" w:firstLineChars="200"/>
      <w:jc w:val="both"/>
    </w:pPr>
    <w:rPr>
      <w:rFonts w:hAnsi="宋体"/>
    </w:rPr>
  </w:style>
  <w:style w:type="paragraph" w:customStyle="1" w:styleId="108">
    <w:name w:val="标准文件_图表脚注"/>
    <w:basedOn w:val="1"/>
    <w:next w:val="63"/>
    <w:qFormat/>
    <w:uiPriority w:val="0"/>
    <w:pPr>
      <w:numPr>
        <w:ilvl w:val="0"/>
        <w:numId w:val="12"/>
      </w:numPr>
      <w:spacing w:line="240" w:lineRule="auto"/>
      <w:jc w:val="left"/>
    </w:pPr>
    <w:rPr>
      <w:rFonts w:ascii="宋体" w:hAnsi="宋体"/>
      <w:sz w:val="18"/>
    </w:rPr>
  </w:style>
  <w:style w:type="character" w:customStyle="1" w:styleId="109">
    <w:name w:val="标准文件_图表脚注内容"/>
    <w:qFormat/>
    <w:uiPriority w:val="0"/>
    <w:rPr>
      <w:rFonts w:ascii="宋体" w:hAnsi="宋体" w:eastAsia="宋体" w:cs="Times New Roman"/>
      <w:spacing w:val="0"/>
      <w:sz w:val="18"/>
      <w:vertAlign w:val="superscript"/>
    </w:rPr>
  </w:style>
  <w:style w:type="paragraph" w:customStyle="1" w:styleId="110">
    <w:name w:val="标准文件_五级条标题"/>
    <w:next w:val="63"/>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11">
    <w:name w:val="标准文件_章标题"/>
    <w:next w:val="63"/>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2">
    <w:name w:val="标准文件_一级条标题"/>
    <w:basedOn w:val="111"/>
    <w:next w:val="63"/>
    <w:qFormat/>
    <w:uiPriority w:val="0"/>
    <w:pPr>
      <w:numPr>
        <w:ilvl w:val="2"/>
      </w:numPr>
      <w:spacing w:before="50" w:beforeLines="50" w:after="50" w:afterLines="50"/>
      <w:outlineLvl w:val="1"/>
    </w:pPr>
  </w:style>
  <w:style w:type="paragraph" w:customStyle="1" w:styleId="113">
    <w:name w:val="标准文件_一致程度"/>
    <w:basedOn w:val="1"/>
    <w:qFormat/>
    <w:uiPriority w:val="0"/>
    <w:pPr>
      <w:spacing w:line="440" w:lineRule="exact"/>
      <w:jc w:val="center"/>
    </w:pPr>
    <w:rPr>
      <w:sz w:val="28"/>
    </w:rPr>
  </w:style>
  <w:style w:type="paragraph" w:customStyle="1" w:styleId="114">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5">
    <w:name w:val="标准文件_英文图表脚注"/>
    <w:basedOn w:val="62"/>
    <w:qFormat/>
    <w:uiPriority w:val="0"/>
    <w:pPr>
      <w:widowControl/>
      <w:adjustRightInd/>
      <w:snapToGrid/>
      <w:spacing w:line="240" w:lineRule="auto"/>
      <w:ind w:left="79" w:hanging="79" w:hangingChars="80"/>
    </w:pPr>
    <w:rPr>
      <w:rFonts w:ascii="宋体" w:hAnsi="宋体"/>
    </w:rPr>
  </w:style>
  <w:style w:type="paragraph" w:customStyle="1" w:styleId="116">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7">
    <w:name w:val="标准文件_英文注："/>
    <w:basedOn w:val="1"/>
    <w:next w:val="63"/>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8">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9">
    <w:name w:val="标准文件_正文表标题"/>
    <w:next w:val="63"/>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公式"/>
    <w:basedOn w:val="1"/>
    <w:next w:val="62"/>
    <w:qFormat/>
    <w:uiPriority w:val="0"/>
    <w:pPr>
      <w:tabs>
        <w:tab w:val="center" w:pos="4678"/>
        <w:tab w:val="right" w:leader="middleDot" w:pos="9356"/>
      </w:tabs>
      <w:spacing w:line="240" w:lineRule="auto"/>
    </w:pPr>
    <w:rPr>
      <w:rFonts w:ascii="宋体" w:hAnsi="宋体"/>
    </w:rPr>
  </w:style>
  <w:style w:type="paragraph" w:customStyle="1" w:styleId="121">
    <w:name w:val="标准文件_正文图标题"/>
    <w:next w:val="63"/>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2">
    <w:name w:val="标准文件_正文英文表标题"/>
    <w:next w:val="63"/>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3">
    <w:name w:val="标准文件_正文英文图标题"/>
    <w:next w:val="63"/>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4">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5">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6">
    <w:name w:val="发布部门"/>
    <w:next w:val="63"/>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7">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8">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9">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1">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2">
    <w:name w:val="封面标准英文名称"/>
    <w:qFormat/>
    <w:uiPriority w:val="0"/>
    <w:pPr>
      <w:widowControl w:val="0"/>
      <w:spacing w:line="360" w:lineRule="exact"/>
      <w:jc w:val="center"/>
    </w:pPr>
    <w:rPr>
      <w:rFonts w:ascii="黑体" w:hAnsi="黑体" w:eastAsia="黑体" w:cs="Times New Roman"/>
      <w:sz w:val="28"/>
      <w:lang w:val="en-US" w:eastAsia="zh-CN" w:bidi="ar-SA"/>
    </w:rPr>
  </w:style>
  <w:style w:type="paragraph" w:customStyle="1" w:styleId="133">
    <w:name w:val="封面一致性程度标识"/>
    <w:link w:val="239"/>
    <w:qFormat/>
    <w:uiPriority w:val="0"/>
    <w:pPr>
      <w:spacing w:before="440" w:line="440" w:lineRule="exact"/>
      <w:jc w:val="center"/>
    </w:pPr>
    <w:rPr>
      <w:rFonts w:ascii="黑体" w:hAnsi="黑体" w:eastAsia="黑体" w:cs="黑体"/>
      <w:sz w:val="28"/>
      <w:lang w:val="en-US" w:eastAsia="zh-CN" w:bidi="ar-SA"/>
    </w:rPr>
  </w:style>
  <w:style w:type="paragraph" w:customStyle="1" w:styleId="134">
    <w:name w:val="封面正文"/>
    <w:qFormat/>
    <w:uiPriority w:val="0"/>
    <w:pPr>
      <w:jc w:val="both"/>
    </w:pPr>
    <w:rPr>
      <w:rFonts w:ascii="Times New Roman" w:hAnsi="Times New Roman" w:eastAsia="宋体" w:cs="Times New Roman"/>
      <w:lang w:val="en-US" w:eastAsia="zh-CN" w:bidi="ar-SA"/>
    </w:rPr>
  </w:style>
  <w:style w:type="paragraph" w:customStyle="1" w:styleId="135">
    <w:name w:val="附录二级无标题条"/>
    <w:basedOn w:val="1"/>
    <w:next w:val="63"/>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6">
    <w:name w:val="附录三级无标题条"/>
    <w:basedOn w:val="135"/>
    <w:next w:val="63"/>
    <w:qFormat/>
    <w:uiPriority w:val="0"/>
    <w:pPr>
      <w:outlineLvl w:val="4"/>
    </w:pPr>
  </w:style>
  <w:style w:type="paragraph" w:customStyle="1" w:styleId="137">
    <w:name w:val="附录四级无标题条"/>
    <w:basedOn w:val="136"/>
    <w:next w:val="63"/>
    <w:qFormat/>
    <w:uiPriority w:val="0"/>
    <w:pPr>
      <w:outlineLvl w:val="5"/>
    </w:pPr>
  </w:style>
  <w:style w:type="paragraph" w:customStyle="1" w:styleId="138">
    <w:name w:val="附录图"/>
    <w:next w:val="63"/>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9">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40">
    <w:name w:val="附录五级无标题条"/>
    <w:basedOn w:val="137"/>
    <w:next w:val="63"/>
    <w:qFormat/>
    <w:uiPriority w:val="0"/>
    <w:pPr>
      <w:outlineLvl w:val="6"/>
    </w:pPr>
  </w:style>
  <w:style w:type="paragraph" w:customStyle="1" w:styleId="141">
    <w:name w:val="附录性质"/>
    <w:basedOn w:val="1"/>
    <w:qFormat/>
    <w:uiPriority w:val="0"/>
    <w:pPr>
      <w:widowControl/>
      <w:adjustRightInd/>
      <w:jc w:val="center"/>
    </w:pPr>
    <w:rPr>
      <w:rFonts w:ascii="黑体" w:eastAsia="黑体"/>
    </w:rPr>
  </w:style>
  <w:style w:type="paragraph" w:customStyle="1" w:styleId="142">
    <w:name w:val="附录一级无标题条"/>
    <w:basedOn w:val="94"/>
    <w:next w:val="63"/>
    <w:qFormat/>
    <w:uiPriority w:val="0"/>
    <w:pPr>
      <w:autoSpaceDN w:val="0"/>
      <w:outlineLvl w:val="2"/>
    </w:pPr>
    <w:rPr>
      <w:rFonts w:ascii="宋体" w:hAnsi="宋体" w:eastAsia="宋体"/>
    </w:rPr>
  </w:style>
  <w:style w:type="character" w:customStyle="1" w:styleId="143">
    <w:name w:val="个人答复风格"/>
    <w:qFormat/>
    <w:uiPriority w:val="0"/>
    <w:rPr>
      <w:rFonts w:ascii="Arial" w:hAnsi="Arial" w:eastAsia="宋体" w:cs="Arial"/>
      <w:color w:val="auto"/>
      <w:spacing w:val="0"/>
      <w:sz w:val="20"/>
    </w:rPr>
  </w:style>
  <w:style w:type="character" w:customStyle="1" w:styleId="144">
    <w:name w:val="个人撰写风格"/>
    <w:qFormat/>
    <w:uiPriority w:val="0"/>
    <w:rPr>
      <w:rFonts w:ascii="Arial" w:hAnsi="Arial" w:eastAsia="宋体" w:cs="Arial"/>
      <w:color w:val="auto"/>
      <w:spacing w:val="0"/>
      <w:sz w:val="20"/>
    </w:rPr>
  </w:style>
  <w:style w:type="paragraph" w:customStyle="1" w:styleId="145">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6">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7">
    <w:name w:val="列项·"/>
    <w:basedOn w:val="63"/>
    <w:qFormat/>
    <w:uiPriority w:val="0"/>
    <w:pPr>
      <w:tabs>
        <w:tab w:val="left" w:pos="840"/>
      </w:tabs>
    </w:pPr>
  </w:style>
  <w:style w:type="paragraph" w:customStyle="1" w:styleId="148">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9">
    <w:name w:val="目录 21"/>
    <w:basedOn w:val="1"/>
    <w:next w:val="1"/>
    <w:semiHidden/>
    <w:qFormat/>
    <w:uiPriority w:val="0"/>
    <w:pPr>
      <w:adjustRightInd/>
      <w:spacing w:line="240" w:lineRule="auto"/>
      <w:jc w:val="left"/>
    </w:pPr>
    <w:rPr>
      <w:bCs/>
      <w:iCs/>
    </w:rPr>
  </w:style>
  <w:style w:type="paragraph" w:customStyle="1" w:styleId="150">
    <w:name w:val="目录 31"/>
    <w:basedOn w:val="1"/>
    <w:next w:val="1"/>
    <w:semiHidden/>
    <w:qFormat/>
    <w:uiPriority w:val="0"/>
    <w:pPr>
      <w:spacing w:line="240" w:lineRule="auto"/>
    </w:pPr>
    <w:rPr>
      <w:rFonts w:ascii="宋体" w:hAnsi="宋体"/>
      <w:iCs/>
    </w:rPr>
  </w:style>
  <w:style w:type="paragraph" w:customStyle="1" w:styleId="151">
    <w:name w:val="目录 41"/>
    <w:basedOn w:val="1"/>
    <w:next w:val="1"/>
    <w:semiHidden/>
    <w:qFormat/>
    <w:uiPriority w:val="0"/>
    <w:pPr>
      <w:adjustRightInd/>
      <w:spacing w:line="240" w:lineRule="auto"/>
      <w:jc w:val="left"/>
    </w:pPr>
  </w:style>
  <w:style w:type="paragraph" w:customStyle="1" w:styleId="152">
    <w:name w:val="目录 51"/>
    <w:basedOn w:val="1"/>
    <w:next w:val="1"/>
    <w:semiHidden/>
    <w:qFormat/>
    <w:uiPriority w:val="0"/>
    <w:pPr>
      <w:spacing w:line="240" w:lineRule="auto"/>
    </w:pPr>
    <w:rPr>
      <w:rFonts w:ascii="宋体" w:hAnsi="宋体"/>
    </w:rPr>
  </w:style>
  <w:style w:type="paragraph" w:customStyle="1" w:styleId="153">
    <w:name w:val="目录 61"/>
    <w:basedOn w:val="1"/>
    <w:next w:val="1"/>
    <w:semiHidden/>
    <w:qFormat/>
    <w:uiPriority w:val="0"/>
    <w:pPr>
      <w:adjustRightInd/>
      <w:spacing w:line="240" w:lineRule="auto"/>
      <w:jc w:val="left"/>
    </w:pPr>
  </w:style>
  <w:style w:type="paragraph" w:customStyle="1" w:styleId="154">
    <w:name w:val="目录 71"/>
    <w:basedOn w:val="153"/>
    <w:semiHidden/>
    <w:qFormat/>
    <w:uiPriority w:val="0"/>
    <w:pPr>
      <w:ind w:left="1260"/>
    </w:pPr>
  </w:style>
  <w:style w:type="paragraph" w:customStyle="1" w:styleId="155">
    <w:name w:val="目录 81"/>
    <w:basedOn w:val="154"/>
    <w:semiHidden/>
    <w:qFormat/>
    <w:uiPriority w:val="0"/>
    <w:pPr>
      <w:ind w:left="1470"/>
    </w:pPr>
  </w:style>
  <w:style w:type="paragraph" w:customStyle="1" w:styleId="156">
    <w:name w:val="目录 91"/>
    <w:basedOn w:val="155"/>
    <w:semiHidden/>
    <w:qFormat/>
    <w:uiPriority w:val="0"/>
    <w:pPr>
      <w:ind w:left="1680"/>
    </w:pPr>
  </w:style>
  <w:style w:type="paragraph" w:customStyle="1" w:styleId="157">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8">
    <w:name w:val="其他发布部门"/>
    <w:basedOn w:val="126"/>
    <w:qFormat/>
    <w:uiPriority w:val="0"/>
    <w:pPr>
      <w:framePr w:wrap="around"/>
      <w:spacing w:line="0" w:lineRule="atLeast"/>
    </w:pPr>
    <w:rPr>
      <w:rFonts w:ascii="黑体" w:eastAsia="黑体"/>
      <w:b w:val="0"/>
    </w:rPr>
  </w:style>
  <w:style w:type="paragraph" w:customStyle="1" w:styleId="159">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60">
    <w:name w:val="三级无标题条"/>
    <w:basedOn w:val="1"/>
    <w:qFormat/>
    <w:uiPriority w:val="0"/>
    <w:pPr>
      <w:numPr>
        <w:ilvl w:val="4"/>
        <w:numId w:val="20"/>
      </w:numPr>
      <w:adjustRightInd/>
      <w:spacing w:line="240" w:lineRule="auto"/>
    </w:pPr>
    <w:rPr>
      <w:rFonts w:ascii="宋体" w:hAnsi="宋体"/>
      <w:szCs w:val="24"/>
    </w:rPr>
  </w:style>
  <w:style w:type="paragraph" w:customStyle="1" w:styleId="161">
    <w:name w:val="实施日期"/>
    <w:basedOn w:val="127"/>
    <w:qFormat/>
    <w:uiPriority w:val="0"/>
    <w:pPr>
      <w:framePr w:hSpace="0" w:wrap="around" w:xAlign="right"/>
      <w:jc w:val="right"/>
    </w:pPr>
  </w:style>
  <w:style w:type="paragraph" w:customStyle="1" w:styleId="162">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3">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4">
    <w:name w:val="无标题条"/>
    <w:next w:val="63"/>
    <w:qFormat/>
    <w:uiPriority w:val="0"/>
    <w:pPr>
      <w:jc w:val="both"/>
    </w:pPr>
    <w:rPr>
      <w:rFonts w:ascii="宋体" w:hAnsi="宋体" w:eastAsia="宋体" w:cs="Times New Roman"/>
      <w:sz w:val="21"/>
      <w:lang w:val="en-US" w:eastAsia="zh-CN" w:bidi="ar-SA"/>
    </w:rPr>
  </w:style>
  <w:style w:type="paragraph" w:customStyle="1" w:styleId="165">
    <w:name w:val="五级无标题条"/>
    <w:basedOn w:val="1"/>
    <w:qFormat/>
    <w:uiPriority w:val="0"/>
    <w:pPr>
      <w:numPr>
        <w:ilvl w:val="6"/>
        <w:numId w:val="20"/>
      </w:numPr>
      <w:adjustRightInd/>
    </w:pPr>
    <w:rPr>
      <w:szCs w:val="24"/>
    </w:rPr>
  </w:style>
  <w:style w:type="paragraph" w:customStyle="1" w:styleId="166">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7">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8">
    <w:name w:val="注×:后续"/>
    <w:basedOn w:val="167"/>
    <w:qFormat/>
    <w:uiPriority w:val="0"/>
    <w:pPr>
      <w:ind w:left="1406" w:leftChars="0" w:hanging="499" w:firstLineChars="0"/>
    </w:pPr>
  </w:style>
  <w:style w:type="paragraph" w:customStyle="1" w:styleId="169">
    <w:name w:val="标准文件_一级无标题"/>
    <w:basedOn w:val="112"/>
    <w:qFormat/>
    <w:uiPriority w:val="0"/>
    <w:pPr>
      <w:spacing w:before="0" w:beforeLines="0" w:after="0" w:afterLines="0"/>
      <w:outlineLvl w:val="9"/>
    </w:pPr>
    <w:rPr>
      <w:rFonts w:ascii="宋体" w:eastAsia="宋体"/>
    </w:rPr>
  </w:style>
  <w:style w:type="paragraph" w:customStyle="1" w:styleId="170">
    <w:name w:val="标准文件_五级无标题"/>
    <w:basedOn w:val="110"/>
    <w:qFormat/>
    <w:uiPriority w:val="0"/>
    <w:pPr>
      <w:spacing w:before="0" w:beforeLines="0" w:after="0" w:afterLines="0"/>
      <w:outlineLvl w:val="9"/>
    </w:pPr>
    <w:rPr>
      <w:rFonts w:ascii="宋体" w:eastAsia="宋体"/>
    </w:rPr>
  </w:style>
  <w:style w:type="paragraph" w:customStyle="1" w:styleId="171">
    <w:name w:val="标准文件_三级无标题"/>
    <w:basedOn w:val="101"/>
    <w:qFormat/>
    <w:uiPriority w:val="0"/>
    <w:pPr>
      <w:spacing w:before="0" w:beforeLines="0" w:after="0" w:afterLines="0"/>
      <w:outlineLvl w:val="9"/>
    </w:pPr>
    <w:rPr>
      <w:rFonts w:ascii="宋体" w:eastAsia="宋体"/>
    </w:rPr>
  </w:style>
  <w:style w:type="paragraph" w:customStyle="1" w:styleId="172">
    <w:name w:val="标准文件_二级无标题"/>
    <w:basedOn w:val="72"/>
    <w:qFormat/>
    <w:uiPriority w:val="0"/>
    <w:pPr>
      <w:spacing w:before="0" w:beforeLines="0" w:after="0" w:afterLines="0"/>
      <w:outlineLvl w:val="9"/>
    </w:pPr>
    <w:rPr>
      <w:rFonts w:ascii="宋体" w:eastAsia="宋体"/>
    </w:rPr>
  </w:style>
  <w:style w:type="paragraph" w:customStyle="1" w:styleId="173">
    <w:name w:val="标准_四级无标题"/>
    <w:basedOn w:val="105"/>
    <w:next w:val="63"/>
    <w:qFormat/>
    <w:uiPriority w:val="0"/>
    <w:rPr>
      <w:rFonts w:eastAsia="宋体"/>
    </w:rPr>
  </w:style>
  <w:style w:type="paragraph" w:customStyle="1" w:styleId="174">
    <w:name w:val="标准文件_四级无标题"/>
    <w:basedOn w:val="105"/>
    <w:qFormat/>
    <w:uiPriority w:val="0"/>
    <w:pPr>
      <w:spacing w:before="0" w:beforeLines="0" w:after="0" w:afterLines="0"/>
      <w:outlineLvl w:val="9"/>
    </w:pPr>
    <w:rPr>
      <w:rFonts w:ascii="宋体" w:hAnsi="黑体" w:eastAsia="宋体"/>
      <w:szCs w:val="52"/>
    </w:rPr>
  </w:style>
  <w:style w:type="paragraph" w:customStyle="1" w:styleId="175">
    <w:name w:val="标准文件_大写罗马数字编号列项"/>
    <w:basedOn w:val="63"/>
    <w:qFormat/>
    <w:uiPriority w:val="0"/>
    <w:pPr>
      <w:numPr>
        <w:ilvl w:val="0"/>
        <w:numId w:val="23"/>
      </w:numPr>
      <w:ind w:firstLine="0" w:firstLineChars="0"/>
    </w:pPr>
    <w:rPr>
      <w:rFonts w:ascii="Times New Roman" w:cs="Arial"/>
      <w:szCs w:val="28"/>
    </w:rPr>
  </w:style>
  <w:style w:type="paragraph" w:customStyle="1" w:styleId="176">
    <w:name w:val="标准文件_小写罗马数字编号列项"/>
    <w:basedOn w:val="63"/>
    <w:qFormat/>
    <w:uiPriority w:val="0"/>
    <w:pPr>
      <w:numPr>
        <w:ilvl w:val="0"/>
        <w:numId w:val="24"/>
      </w:numPr>
      <w:ind w:firstLine="0" w:firstLineChars="0"/>
    </w:pPr>
    <w:rPr>
      <w:rFonts w:cs="Arial"/>
      <w:szCs w:val="28"/>
    </w:rPr>
  </w:style>
  <w:style w:type="paragraph" w:customStyle="1" w:styleId="177">
    <w:name w:val="标准文件_附录标题"/>
    <w:basedOn w:val="83"/>
    <w:qFormat/>
    <w:uiPriority w:val="0"/>
    <w:pPr>
      <w:numPr>
        <w:numId w:val="0"/>
      </w:numPr>
      <w:outlineLvl w:val="9"/>
    </w:pPr>
  </w:style>
  <w:style w:type="paragraph" w:customStyle="1" w:styleId="178">
    <w:name w:val="标准文件_二级项"/>
    <w:qFormat/>
    <w:uiPriority w:val="0"/>
    <w:rPr>
      <w:rFonts w:ascii="宋体" w:hAnsi="Times New Roman" w:eastAsia="宋体" w:cs="Times New Roman"/>
      <w:sz w:val="21"/>
      <w:lang w:val="en-US" w:eastAsia="zh-CN" w:bidi="ar-SA"/>
    </w:rPr>
  </w:style>
  <w:style w:type="paragraph" w:customStyle="1" w:styleId="179">
    <w:name w:val="标准文件_三级项"/>
    <w:basedOn w:val="1"/>
    <w:qFormat/>
    <w:uiPriority w:val="0"/>
    <w:pPr>
      <w:numPr>
        <w:ilvl w:val="2"/>
        <w:numId w:val="21"/>
      </w:numPr>
      <w:spacing w:line="536870612" w:lineRule="auto"/>
    </w:pPr>
    <w:rPr>
      <w:rFonts w:ascii="Times New Roman" w:hAnsi="Times New Roman"/>
    </w:rPr>
  </w:style>
  <w:style w:type="paragraph" w:customStyle="1" w:styleId="180">
    <w:name w:val="图表脚注说明"/>
    <w:basedOn w:val="1"/>
    <w:next w:val="63"/>
    <w:qFormat/>
    <w:uiPriority w:val="0"/>
    <w:pPr>
      <w:numPr>
        <w:ilvl w:val="0"/>
        <w:numId w:val="25"/>
      </w:numPr>
      <w:adjustRightInd/>
      <w:spacing w:line="240" w:lineRule="auto"/>
    </w:pPr>
    <w:rPr>
      <w:rFonts w:ascii="宋体" w:hAnsi="Times New Roman"/>
      <w:sz w:val="18"/>
      <w:szCs w:val="18"/>
    </w:rPr>
  </w:style>
  <w:style w:type="paragraph" w:customStyle="1" w:styleId="181">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2">
    <w:name w:val="标准文件_索引字母"/>
    <w:next w:val="63"/>
    <w:qFormat/>
    <w:uiPriority w:val="0"/>
    <w:pPr>
      <w:jc w:val="center"/>
    </w:pPr>
    <w:rPr>
      <w:rFonts w:ascii="宋体" w:hAnsi="宋体" w:eastAsia="Times New Roman" w:cs="Times New Roman"/>
      <w:b/>
      <w:kern w:val="2"/>
      <w:sz w:val="21"/>
      <w:lang w:val="en-US" w:eastAsia="zh-CN" w:bidi="ar-SA"/>
    </w:rPr>
  </w:style>
  <w:style w:type="paragraph" w:customStyle="1" w:styleId="183">
    <w:name w:val="标准文件_附录前"/>
    <w:next w:val="63"/>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4">
    <w:name w:val="标准文件_正文标准名称"/>
    <w:qFormat/>
    <w:uiPriority w:val="0"/>
    <w:pPr>
      <w:spacing w:before="560" w:after="680"/>
      <w:jc w:val="center"/>
    </w:pPr>
    <w:rPr>
      <w:rFonts w:ascii="黑体" w:hAnsi="黑体" w:eastAsia="黑体" w:cs="Times New Roman"/>
      <w:kern w:val="2"/>
      <w:sz w:val="32"/>
      <w:szCs w:val="32"/>
      <w:lang w:val="en-US" w:eastAsia="zh-CN" w:bidi="ar-SA"/>
    </w:rPr>
  </w:style>
  <w:style w:type="paragraph" w:customStyle="1" w:styleId="185">
    <w:name w:val="标准文件_表格"/>
    <w:basedOn w:val="63"/>
    <w:qFormat/>
    <w:uiPriority w:val="0"/>
    <w:pPr>
      <w:ind w:firstLine="0" w:firstLineChars="0"/>
      <w:jc w:val="center"/>
    </w:pPr>
    <w:rPr>
      <w:sz w:val="18"/>
    </w:rPr>
  </w:style>
  <w:style w:type="paragraph" w:customStyle="1" w:styleId="186">
    <w:name w:val="标准文件_注："/>
    <w:next w:val="63"/>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7">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8">
    <w:name w:val="标准文件_示例："/>
    <w:next w:val="189"/>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9">
    <w:name w:val="标准文件_示例内容"/>
    <w:basedOn w:val="63"/>
    <w:qFormat/>
    <w:uiPriority w:val="0"/>
    <w:rPr>
      <w:sz w:val="18"/>
    </w:rPr>
  </w:style>
  <w:style w:type="paragraph" w:customStyle="1" w:styleId="190">
    <w:name w:val="标准文件_示例×："/>
    <w:basedOn w:val="1"/>
    <w:next w:val="189"/>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91">
    <w:name w:val="标准文件_段 Char"/>
    <w:link w:val="63"/>
    <w:qFormat/>
    <w:uiPriority w:val="0"/>
    <w:rPr>
      <w:rFonts w:ascii="宋体" w:hAnsi="Times New Roman" w:eastAsia="宋体" w:cs="Times New Roman"/>
      <w:sz w:val="21"/>
      <w:lang w:val="en-US" w:eastAsia="zh-CN" w:bidi="ar-SA"/>
    </w:rPr>
  </w:style>
  <w:style w:type="paragraph" w:customStyle="1" w:styleId="192">
    <w:name w:val="标准文件_表格续"/>
    <w:basedOn w:val="63"/>
    <w:next w:val="63"/>
    <w:qFormat/>
    <w:uiPriority w:val="0"/>
    <w:pPr>
      <w:jc w:val="center"/>
    </w:pPr>
    <w:rPr>
      <w:rFonts w:ascii="黑体" w:hAnsi="黑体" w:eastAsia="黑体"/>
    </w:rPr>
  </w:style>
  <w:style w:type="character" w:styleId="193">
    <w:name w:val="Placeholder Text"/>
    <w:basedOn w:val="34"/>
    <w:semiHidden/>
    <w:qFormat/>
    <w:uiPriority w:val="99"/>
    <w:rPr>
      <w:color w:val="808080"/>
    </w:rPr>
  </w:style>
  <w:style w:type="paragraph" w:customStyle="1" w:styleId="194">
    <w:name w:val="标准文件_二级项2"/>
    <w:basedOn w:val="63"/>
    <w:qFormat/>
    <w:uiPriority w:val="0"/>
    <w:pPr>
      <w:numPr>
        <w:ilvl w:val="1"/>
        <w:numId w:val="21"/>
      </w:numPr>
      <w:ind w:firstLine="0" w:firstLineChars="0"/>
    </w:pPr>
  </w:style>
  <w:style w:type="paragraph" w:customStyle="1" w:styleId="195">
    <w:name w:val="标准文件_三级项2"/>
    <w:basedOn w:val="63"/>
    <w:qFormat/>
    <w:uiPriority w:val="0"/>
    <w:pPr>
      <w:numPr>
        <w:ilvl w:val="0"/>
        <w:numId w:val="30"/>
      </w:numPr>
      <w:spacing w:line="300" w:lineRule="exact"/>
      <w:ind w:firstLineChars="0"/>
    </w:pPr>
    <w:rPr>
      <w:rFonts w:ascii="Times New Roman"/>
    </w:rPr>
  </w:style>
  <w:style w:type="paragraph" w:customStyle="1" w:styleId="196">
    <w:name w:val="标准文件_一级项2"/>
    <w:basedOn w:val="63"/>
    <w:qFormat/>
    <w:uiPriority w:val="0"/>
    <w:pPr>
      <w:numPr>
        <w:ilvl w:val="0"/>
        <w:numId w:val="31"/>
      </w:numPr>
      <w:spacing w:line="300" w:lineRule="exact"/>
      <w:ind w:firstLineChars="0"/>
    </w:pPr>
    <w:rPr>
      <w:rFonts w:ascii="Times New Roman"/>
    </w:rPr>
  </w:style>
  <w:style w:type="paragraph" w:customStyle="1" w:styleId="197">
    <w:name w:val="标准文件_提示"/>
    <w:basedOn w:val="63"/>
    <w:next w:val="63"/>
    <w:qFormat/>
    <w:uiPriority w:val="0"/>
    <w:rPr>
      <w:rFonts w:ascii="黑体" w:eastAsia="黑体"/>
    </w:rPr>
  </w:style>
  <w:style w:type="character" w:customStyle="1" w:styleId="198">
    <w:name w:val="标准文件_来源"/>
    <w:basedOn w:val="34"/>
    <w:qFormat/>
    <w:uiPriority w:val="1"/>
    <w:rPr>
      <w:rFonts w:eastAsia="宋体"/>
      <w:sz w:val="21"/>
    </w:rPr>
  </w:style>
  <w:style w:type="paragraph" w:customStyle="1" w:styleId="199">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200">
    <w:name w:val="其他发布日期"/>
    <w:basedOn w:val="127"/>
    <w:qFormat/>
    <w:uiPriority w:val="0"/>
    <w:pPr>
      <w:framePr w:w="3997" w:h="471" w:hRule="exact" w:hSpace="0" w:vSpace="181" w:wrap="around" w:vAnchor="page" w:hAnchor="page" w:x="1419" w:y="14097"/>
    </w:pPr>
  </w:style>
  <w:style w:type="paragraph" w:customStyle="1" w:styleId="201">
    <w:name w:val="其他实施日期"/>
    <w:basedOn w:val="161"/>
    <w:qFormat/>
    <w:uiPriority w:val="0"/>
    <w:pPr>
      <w:framePr w:w="3997" w:h="471" w:hRule="exact" w:vSpace="181" w:wrap="around" w:vAnchor="page" w:hAnchor="page" w:x="7089" w:y="14097"/>
    </w:pPr>
  </w:style>
  <w:style w:type="paragraph" w:customStyle="1" w:styleId="202">
    <w:name w:val="标准文件_文件编号"/>
    <w:basedOn w:val="63"/>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3">
    <w:name w:val="标准文件_替换文件编号"/>
    <w:basedOn w:val="202"/>
    <w:qFormat/>
    <w:uiPriority w:val="0"/>
    <w:pPr>
      <w:spacing w:before="57"/>
    </w:pPr>
    <w:rPr>
      <w:sz w:val="21"/>
    </w:rPr>
  </w:style>
  <w:style w:type="paragraph" w:customStyle="1" w:styleId="204">
    <w:name w:val="标准文件_文件名称"/>
    <w:basedOn w:val="63"/>
    <w:next w:val="63"/>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5">
    <w:name w:val="标准文件_附录图标号"/>
    <w:basedOn w:val="63"/>
    <w:next w:val="63"/>
    <w:qFormat/>
    <w:uiPriority w:val="0"/>
    <w:pPr>
      <w:numPr>
        <w:ilvl w:val="0"/>
        <w:numId w:val="6"/>
      </w:numPr>
      <w:spacing w:line="14" w:lineRule="exact"/>
      <w:ind w:firstLineChars="0"/>
      <w:jc w:val="center"/>
    </w:pPr>
    <w:rPr>
      <w:rFonts w:ascii="黑体" w:hAnsi="黑体" w:eastAsia="黑体"/>
      <w:vanish/>
      <w:sz w:val="2"/>
      <w:szCs w:val="21"/>
    </w:rPr>
  </w:style>
  <w:style w:type="paragraph" w:customStyle="1" w:styleId="206">
    <w:name w:val="标准文件_附录表标号"/>
    <w:basedOn w:val="63"/>
    <w:next w:val="63"/>
    <w:qFormat/>
    <w:uiPriority w:val="0"/>
    <w:pPr>
      <w:numPr>
        <w:ilvl w:val="0"/>
        <w:numId w:val="5"/>
      </w:numPr>
      <w:spacing w:line="14" w:lineRule="exact"/>
      <w:ind w:firstLineChars="0"/>
      <w:jc w:val="center"/>
    </w:pPr>
    <w:rPr>
      <w:rFonts w:eastAsia="黑体"/>
      <w:vanish/>
      <w:sz w:val="2"/>
    </w:rPr>
  </w:style>
  <w:style w:type="paragraph" w:customStyle="1" w:styleId="207">
    <w:name w:val="标准文件_引言一级条标题"/>
    <w:basedOn w:val="63"/>
    <w:next w:val="63"/>
    <w:qFormat/>
    <w:uiPriority w:val="0"/>
    <w:pPr>
      <w:numPr>
        <w:ilvl w:val="1"/>
        <w:numId w:val="8"/>
      </w:numPr>
      <w:spacing w:before="50" w:beforeLines="50" w:after="50" w:afterLines="50"/>
      <w:ind w:firstLineChars="0"/>
    </w:pPr>
    <w:rPr>
      <w:rFonts w:ascii="黑体" w:eastAsia="黑体"/>
    </w:rPr>
  </w:style>
  <w:style w:type="paragraph" w:customStyle="1" w:styleId="208">
    <w:name w:val="标准文件_引言二级条标题"/>
    <w:basedOn w:val="63"/>
    <w:next w:val="63"/>
    <w:qFormat/>
    <w:uiPriority w:val="0"/>
    <w:pPr>
      <w:numPr>
        <w:ilvl w:val="2"/>
        <w:numId w:val="8"/>
      </w:numPr>
      <w:spacing w:before="50" w:beforeLines="50" w:after="50" w:afterLines="50"/>
      <w:ind w:firstLineChars="0"/>
    </w:pPr>
    <w:rPr>
      <w:rFonts w:ascii="黑体" w:eastAsia="黑体"/>
    </w:rPr>
  </w:style>
  <w:style w:type="paragraph" w:customStyle="1" w:styleId="209">
    <w:name w:val="标准文件_引言三级条标题"/>
    <w:basedOn w:val="63"/>
    <w:next w:val="63"/>
    <w:qFormat/>
    <w:uiPriority w:val="0"/>
    <w:pPr>
      <w:numPr>
        <w:ilvl w:val="3"/>
        <w:numId w:val="8"/>
      </w:numPr>
      <w:spacing w:before="50" w:beforeLines="50" w:after="50" w:afterLines="50"/>
      <w:ind w:firstLineChars="0"/>
    </w:pPr>
    <w:rPr>
      <w:rFonts w:ascii="黑体" w:eastAsia="黑体"/>
    </w:rPr>
  </w:style>
  <w:style w:type="paragraph" w:customStyle="1" w:styleId="210">
    <w:name w:val="标准文件_引言四级条标题"/>
    <w:basedOn w:val="63"/>
    <w:next w:val="63"/>
    <w:qFormat/>
    <w:uiPriority w:val="0"/>
    <w:pPr>
      <w:numPr>
        <w:ilvl w:val="4"/>
        <w:numId w:val="8"/>
      </w:numPr>
      <w:spacing w:before="50" w:beforeLines="50" w:after="50" w:afterLines="50"/>
      <w:ind w:firstLineChars="0"/>
    </w:pPr>
    <w:rPr>
      <w:rFonts w:ascii="黑体" w:eastAsia="黑体"/>
    </w:rPr>
  </w:style>
  <w:style w:type="paragraph" w:customStyle="1" w:styleId="211">
    <w:name w:val="标准文件_引言五级条标题"/>
    <w:basedOn w:val="63"/>
    <w:next w:val="63"/>
    <w:qFormat/>
    <w:uiPriority w:val="0"/>
    <w:pPr>
      <w:numPr>
        <w:ilvl w:val="5"/>
        <w:numId w:val="8"/>
      </w:numPr>
      <w:spacing w:before="50" w:beforeLines="50" w:after="50" w:afterLines="50"/>
      <w:ind w:firstLineChars="0"/>
    </w:pPr>
    <w:rPr>
      <w:rFonts w:ascii="黑体" w:eastAsia="黑体"/>
    </w:rPr>
  </w:style>
  <w:style w:type="paragraph" w:customStyle="1" w:styleId="212">
    <w:name w:val="标准文件_注后"/>
    <w:basedOn w:val="63"/>
    <w:qFormat/>
    <w:uiPriority w:val="0"/>
    <w:pPr>
      <w:ind w:left="811" w:firstLine="0" w:firstLineChars="0"/>
    </w:pPr>
    <w:rPr>
      <w:sz w:val="18"/>
    </w:rPr>
  </w:style>
  <w:style w:type="paragraph" w:customStyle="1" w:styleId="213">
    <w:name w:val="标准文件_注X后"/>
    <w:basedOn w:val="63"/>
    <w:qFormat/>
    <w:uiPriority w:val="0"/>
    <w:pPr>
      <w:ind w:left="811" w:firstLine="0" w:firstLineChars="0"/>
    </w:pPr>
    <w:rPr>
      <w:sz w:val="18"/>
    </w:rPr>
  </w:style>
  <w:style w:type="paragraph" w:customStyle="1" w:styleId="214">
    <w:name w:val="标准文件_示例后"/>
    <w:basedOn w:val="63"/>
    <w:qFormat/>
    <w:uiPriority w:val="0"/>
    <w:pPr>
      <w:ind w:left="964" w:firstLine="0" w:firstLineChars="0"/>
    </w:pPr>
    <w:rPr>
      <w:sz w:val="18"/>
    </w:rPr>
  </w:style>
  <w:style w:type="paragraph" w:customStyle="1" w:styleId="215">
    <w:name w:val="标准文件_示例X后"/>
    <w:basedOn w:val="63"/>
    <w:link w:val="216"/>
    <w:qFormat/>
    <w:uiPriority w:val="0"/>
    <w:pPr>
      <w:ind w:left="1049" w:firstLine="0" w:firstLineChars="0"/>
    </w:pPr>
    <w:rPr>
      <w:sz w:val="18"/>
    </w:rPr>
  </w:style>
  <w:style w:type="character" w:customStyle="1" w:styleId="216">
    <w:name w:val="标准文件_示例X后 字符"/>
    <w:basedOn w:val="191"/>
    <w:link w:val="215"/>
    <w:qFormat/>
    <w:uiPriority w:val="0"/>
    <w:rPr>
      <w:rFonts w:ascii="宋体" w:hAnsi="Times New Roman" w:eastAsia="宋体" w:cs="Times New Roman"/>
      <w:sz w:val="18"/>
      <w:lang w:val="en-US" w:eastAsia="zh-CN" w:bidi="ar-SA"/>
    </w:rPr>
  </w:style>
  <w:style w:type="paragraph" w:customStyle="1" w:styleId="217">
    <w:name w:val="标准文件_索引项"/>
    <w:basedOn w:val="63"/>
    <w:next w:val="63"/>
    <w:qFormat/>
    <w:uiPriority w:val="0"/>
    <w:pPr>
      <w:tabs>
        <w:tab w:val="right" w:leader="dot" w:pos="9356"/>
      </w:tabs>
      <w:ind w:left="210" w:hanging="210" w:firstLineChars="0"/>
      <w:jc w:val="left"/>
    </w:pPr>
  </w:style>
  <w:style w:type="paragraph" w:customStyle="1" w:styleId="218">
    <w:name w:val="标准文件_附录一级无标题"/>
    <w:basedOn w:val="85"/>
    <w:qFormat/>
    <w:uiPriority w:val="0"/>
    <w:pPr>
      <w:spacing w:before="0" w:beforeLines="0" w:after="0" w:afterLines="0" w:line="276" w:lineRule="auto"/>
      <w:outlineLvl w:val="9"/>
    </w:pPr>
    <w:rPr>
      <w:rFonts w:ascii="宋体" w:eastAsia="宋体"/>
    </w:rPr>
  </w:style>
  <w:style w:type="paragraph" w:customStyle="1" w:styleId="219">
    <w:name w:val="标准文件_附录二级无标题"/>
    <w:basedOn w:val="86"/>
    <w:qFormat/>
    <w:uiPriority w:val="0"/>
    <w:pPr>
      <w:spacing w:before="0" w:beforeLines="0" w:after="0" w:afterLines="0" w:line="276" w:lineRule="auto"/>
      <w:outlineLvl w:val="9"/>
    </w:pPr>
    <w:rPr>
      <w:rFonts w:ascii="宋体" w:eastAsia="宋体"/>
    </w:rPr>
  </w:style>
  <w:style w:type="paragraph" w:customStyle="1" w:styleId="220">
    <w:name w:val="标准文件_附录三级无标题"/>
    <w:basedOn w:val="88"/>
    <w:qFormat/>
    <w:uiPriority w:val="0"/>
    <w:pPr>
      <w:spacing w:before="0" w:beforeLines="0" w:after="0" w:afterLines="0" w:line="276" w:lineRule="auto"/>
      <w:outlineLvl w:val="9"/>
    </w:pPr>
    <w:rPr>
      <w:rFonts w:ascii="宋体" w:eastAsia="宋体"/>
    </w:rPr>
  </w:style>
  <w:style w:type="paragraph" w:customStyle="1" w:styleId="221">
    <w:name w:val="标准文件_附录四级无标题"/>
    <w:basedOn w:val="89"/>
    <w:qFormat/>
    <w:uiPriority w:val="0"/>
    <w:pPr>
      <w:spacing w:before="0" w:beforeLines="0" w:after="0" w:afterLines="0" w:line="276" w:lineRule="auto"/>
      <w:outlineLvl w:val="9"/>
    </w:pPr>
    <w:rPr>
      <w:rFonts w:ascii="宋体" w:eastAsia="宋体"/>
    </w:rPr>
  </w:style>
  <w:style w:type="paragraph" w:customStyle="1" w:styleId="222">
    <w:name w:val="标准文件_附录五级无标题"/>
    <w:basedOn w:val="91"/>
    <w:qFormat/>
    <w:uiPriority w:val="0"/>
    <w:pPr>
      <w:spacing w:before="0" w:beforeLines="0" w:after="0" w:afterLines="0" w:line="276" w:lineRule="auto"/>
      <w:outlineLvl w:val="9"/>
    </w:pPr>
    <w:rPr>
      <w:rFonts w:ascii="宋体" w:eastAsia="宋体"/>
    </w:rPr>
  </w:style>
  <w:style w:type="paragraph" w:customStyle="1" w:styleId="223">
    <w:name w:val="标准文件_引言一级无标题"/>
    <w:basedOn w:val="207"/>
    <w:next w:val="63"/>
    <w:qFormat/>
    <w:uiPriority w:val="0"/>
    <w:pPr>
      <w:spacing w:before="0" w:beforeLines="0" w:after="0" w:afterLines="0" w:line="276" w:lineRule="auto"/>
    </w:pPr>
    <w:rPr>
      <w:rFonts w:ascii="宋体" w:eastAsia="宋体"/>
    </w:rPr>
  </w:style>
  <w:style w:type="paragraph" w:customStyle="1" w:styleId="224">
    <w:name w:val="标准文件_引言二级无标题"/>
    <w:basedOn w:val="208"/>
    <w:next w:val="63"/>
    <w:qFormat/>
    <w:uiPriority w:val="0"/>
    <w:pPr>
      <w:spacing w:before="0" w:beforeLines="0" w:after="0" w:afterLines="0" w:line="276" w:lineRule="auto"/>
    </w:pPr>
    <w:rPr>
      <w:rFonts w:ascii="宋体" w:eastAsia="宋体"/>
    </w:rPr>
  </w:style>
  <w:style w:type="paragraph" w:customStyle="1" w:styleId="225">
    <w:name w:val="标准文件_引言三级无标题"/>
    <w:basedOn w:val="209"/>
    <w:qFormat/>
    <w:uiPriority w:val="0"/>
    <w:pPr>
      <w:spacing w:before="0" w:beforeLines="0" w:after="0" w:afterLines="0" w:line="276" w:lineRule="auto"/>
    </w:pPr>
    <w:rPr>
      <w:rFonts w:ascii="宋体" w:eastAsia="宋体"/>
    </w:rPr>
  </w:style>
  <w:style w:type="paragraph" w:customStyle="1" w:styleId="226">
    <w:name w:val="标准文件_引言四级无标题"/>
    <w:basedOn w:val="210"/>
    <w:next w:val="63"/>
    <w:qFormat/>
    <w:uiPriority w:val="0"/>
    <w:pPr>
      <w:spacing w:before="0" w:beforeLines="0" w:after="0" w:afterLines="0" w:line="276" w:lineRule="auto"/>
    </w:pPr>
    <w:rPr>
      <w:rFonts w:ascii="宋体" w:eastAsia="宋体"/>
    </w:rPr>
  </w:style>
  <w:style w:type="paragraph" w:customStyle="1" w:styleId="227">
    <w:name w:val="标准文件_引言五级无标题"/>
    <w:basedOn w:val="211"/>
    <w:next w:val="63"/>
    <w:qFormat/>
    <w:uiPriority w:val="0"/>
    <w:pPr>
      <w:spacing w:before="0" w:beforeLines="0" w:after="0" w:afterLines="0" w:line="276" w:lineRule="auto"/>
    </w:pPr>
    <w:rPr>
      <w:rFonts w:ascii="宋体" w:eastAsia="宋体"/>
    </w:rPr>
  </w:style>
  <w:style w:type="paragraph" w:customStyle="1" w:styleId="228">
    <w:name w:val="标准文件_索引标题"/>
    <w:basedOn w:val="70"/>
    <w:next w:val="63"/>
    <w:qFormat/>
    <w:uiPriority w:val="0"/>
  </w:style>
  <w:style w:type="paragraph" w:customStyle="1" w:styleId="229">
    <w:name w:val="标准文件_脚注内容"/>
    <w:basedOn w:val="63"/>
    <w:qFormat/>
    <w:uiPriority w:val="0"/>
    <w:pPr>
      <w:ind w:left="400" w:leftChars="200" w:hanging="200" w:hangingChars="200"/>
    </w:pPr>
    <w:rPr>
      <w:sz w:val="15"/>
    </w:rPr>
  </w:style>
  <w:style w:type="paragraph" w:customStyle="1" w:styleId="230">
    <w:name w:val="标准文件_术语条一"/>
    <w:basedOn w:val="169"/>
    <w:next w:val="63"/>
    <w:qFormat/>
    <w:uiPriority w:val="0"/>
    <w:rPr>
      <w:rFonts w:ascii="黑体" w:hAnsi="黑体" w:eastAsia="黑体"/>
    </w:rPr>
  </w:style>
  <w:style w:type="paragraph" w:customStyle="1" w:styleId="231">
    <w:name w:val="标准文件_术语条二"/>
    <w:basedOn w:val="172"/>
    <w:next w:val="63"/>
    <w:qFormat/>
    <w:uiPriority w:val="0"/>
    <w:rPr>
      <w:rFonts w:ascii="黑体" w:hAnsi="黑体" w:eastAsia="黑体"/>
    </w:rPr>
  </w:style>
  <w:style w:type="paragraph" w:customStyle="1" w:styleId="232">
    <w:name w:val="标准文件_术语条三"/>
    <w:basedOn w:val="171"/>
    <w:next w:val="63"/>
    <w:qFormat/>
    <w:uiPriority w:val="0"/>
    <w:rPr>
      <w:rFonts w:ascii="黑体" w:hAnsi="黑体" w:eastAsia="黑体"/>
    </w:rPr>
  </w:style>
  <w:style w:type="paragraph" w:customStyle="1" w:styleId="233">
    <w:name w:val="标准文件_术语条四"/>
    <w:basedOn w:val="174"/>
    <w:next w:val="63"/>
    <w:qFormat/>
    <w:uiPriority w:val="0"/>
    <w:rPr>
      <w:rFonts w:ascii="黑体" w:eastAsia="黑体"/>
    </w:rPr>
  </w:style>
  <w:style w:type="paragraph" w:customStyle="1" w:styleId="234">
    <w:name w:val="标准文件_术语条五"/>
    <w:basedOn w:val="170"/>
    <w:next w:val="63"/>
    <w:qFormat/>
    <w:uiPriority w:val="0"/>
    <w:rPr>
      <w:rFonts w:ascii="黑体" w:hAnsi="黑体" w:eastAsia="黑体"/>
    </w:rPr>
  </w:style>
  <w:style w:type="paragraph" w:customStyle="1" w:styleId="23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6">
    <w:name w:val="发布"/>
    <w:basedOn w:val="34"/>
    <w:qFormat/>
    <w:uiPriority w:val="0"/>
    <w:rPr>
      <w:rFonts w:ascii="黑体" w:eastAsia="黑体"/>
      <w:spacing w:val="85"/>
      <w:w w:val="100"/>
      <w:position w:val="3"/>
      <w:sz w:val="28"/>
      <w:szCs w:val="28"/>
    </w:rPr>
  </w:style>
  <w:style w:type="character" w:customStyle="1" w:styleId="237">
    <w:name w:val="标准称谓 Char"/>
    <w:link w:val="57"/>
    <w:qFormat/>
    <w:uiPriority w:val="0"/>
    <w:rPr>
      <w:rFonts w:ascii="宋体" w:hAnsi="Times New Roman" w:eastAsia="宋体" w:cs="Times New Roman"/>
      <w:b/>
      <w:bCs/>
      <w:w w:val="148"/>
      <w:sz w:val="52"/>
      <w:lang w:val="en-US" w:eastAsia="zh-CN" w:bidi="ar-SA"/>
    </w:rPr>
  </w:style>
  <w:style w:type="character" w:customStyle="1" w:styleId="238">
    <w:name w:val="标准标志 Char"/>
    <w:link w:val="56"/>
    <w:qFormat/>
    <w:uiPriority w:val="0"/>
    <w:rPr>
      <w:rFonts w:ascii="Times New Roman" w:hAnsi="Times New Roman" w:eastAsia="宋体" w:cs="Times New Roman"/>
      <w:b/>
      <w:w w:val="130"/>
      <w:sz w:val="96"/>
      <w:lang w:val="en-US" w:eastAsia="zh-CN" w:bidi="ar-SA"/>
    </w:rPr>
  </w:style>
  <w:style w:type="character" w:customStyle="1" w:styleId="239">
    <w:name w:val="封面一致性程度标识 Char"/>
    <w:link w:val="133"/>
    <w:qFormat/>
    <w:uiPriority w:val="0"/>
    <w:rPr>
      <w:rFonts w:ascii="黑体" w:hAnsi="黑体" w:eastAsia="黑体" w:cs="黑体"/>
      <w:sz w:val="28"/>
      <w:lang w:val="en-US" w:eastAsia="zh-CN" w:bidi="ar-SA"/>
    </w:rPr>
  </w:style>
  <w:style w:type="paragraph" w:customStyle="1" w:styleId="240">
    <w:name w:val="参考文献、索引标题"/>
    <w:basedOn w:val="1"/>
    <w:next w:val="3"/>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241">
    <w:name w:val="Revision"/>
    <w:hidden/>
    <w:unhideWhenUsed/>
    <w:qFormat/>
    <w:uiPriority w:val="99"/>
    <w:rPr>
      <w:rFonts w:ascii="Calibri" w:hAnsi="Calibri" w:eastAsia="宋体" w:cs="Times New Roman"/>
      <w:kern w:val="2"/>
      <w:sz w:val="21"/>
      <w:szCs w:val="21"/>
      <w:lang w:val="en-US" w:eastAsia="zh-CN" w:bidi="ar-SA"/>
    </w:rPr>
  </w:style>
  <w:style w:type="character" w:customStyle="1" w:styleId="242">
    <w:name w:val="批注文字 字符"/>
    <w:basedOn w:val="34"/>
    <w:link w:val="15"/>
    <w:semiHidden/>
    <w:qFormat/>
    <w:uiPriority w:val="99"/>
    <w:rPr>
      <w:rFonts w:ascii="Calibri" w:hAnsi="Calibri"/>
      <w:kern w:val="2"/>
      <w:sz w:val="21"/>
      <w:szCs w:val="21"/>
    </w:rPr>
  </w:style>
  <w:style w:type="character" w:customStyle="1" w:styleId="243">
    <w:name w:val="批注主题 字符"/>
    <w:basedOn w:val="242"/>
    <w:link w:val="31"/>
    <w:semiHidden/>
    <w:qFormat/>
    <w:uiPriority w:val="99"/>
    <w:rPr>
      <w:rFonts w:ascii="Calibri" w:hAnsi="Calibri"/>
      <w:b/>
      <w:bCs/>
      <w:kern w:val="2"/>
      <w:sz w:val="21"/>
      <w:szCs w:val="21"/>
    </w:rPr>
  </w:style>
  <w:style w:type="character" w:customStyle="1" w:styleId="244">
    <w:name w:val="Unresolved Mention"/>
    <w:basedOn w:val="34"/>
    <w:semiHidden/>
    <w:unhideWhenUsed/>
    <w:qFormat/>
    <w:uiPriority w:val="99"/>
    <w:rPr>
      <w:color w:val="605E5C"/>
      <w:shd w:val="clear" w:color="auto" w:fill="E1DFDD"/>
    </w:rPr>
  </w:style>
  <w:style w:type="paragraph" w:customStyle="1" w:styleId="245">
    <w:name w:val="WPSOffice手动目录 1"/>
    <w:qFormat/>
    <w:uiPriority w:val="0"/>
    <w:pPr>
      <w:ind w:leftChars="0"/>
    </w:pPr>
    <w:rPr>
      <w:rFonts w:ascii="Times New Roman" w:hAnsi="Times New Roman" w:eastAsia="宋体" w:cs="Times New Roman"/>
      <w:sz w:val="20"/>
      <w:szCs w:val="20"/>
    </w:rPr>
  </w:style>
  <w:style w:type="paragraph" w:customStyle="1" w:styleId="24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B8623DBB2C24B3899CB0B000E5C5DBB"/>
        <w:style w:val=""/>
        <w:category>
          <w:name w:val="常规"/>
          <w:gallery w:val="placeholder"/>
        </w:category>
        <w:types>
          <w:type w:val="bbPlcHdr"/>
        </w:types>
        <w:behaviors>
          <w:behavior w:val="content"/>
        </w:behaviors>
        <w:description w:val=""/>
        <w:guid w:val="{82DA0A6E-57A9-4F44-8F0C-2065C91B6EC0}"/>
      </w:docPartPr>
      <w:docPartBody>
        <w:p w14:paraId="7AD9FCD5">
          <w:pPr>
            <w:pStyle w:val="5"/>
          </w:pPr>
          <w:r>
            <w:rPr>
              <w:rStyle w:val="4"/>
              <w:rFonts w:hint="eastAsia"/>
            </w:rPr>
            <w:t>选择一项。</w:t>
          </w:r>
        </w:p>
      </w:docPartBody>
    </w:docPart>
    <w:docPart>
      <w:docPartPr>
        <w:name w:val="{ee073880-b451-4ff0-9253-5135824a1eff}"/>
        <w:style w:val=""/>
        <w:category>
          <w:name w:val="常规"/>
          <w:gallery w:val="placeholder"/>
        </w:category>
        <w:types>
          <w:type w:val="bbPlcHdr"/>
        </w:types>
        <w:behaviors>
          <w:behavior w:val="content"/>
        </w:behaviors>
        <w:description w:val=""/>
        <w:guid w:val="{EE073880-B451-4FF0-9253-5135824A1EFF}"/>
      </w:docPartPr>
      <w:docPartBody>
        <w:p w14:paraId="662B8DA0">
          <w:r>
            <w:rPr>
              <w:color w:val="808080"/>
            </w:rPr>
            <w:t>点击此处添加标准名称</w:t>
          </w:r>
        </w:p>
      </w:docPartBody>
    </w:docPart>
    <w:docPart>
      <w:docPartPr>
        <w:name w:val="{7be65522-be42-417e-a61a-794d4bc9e243}"/>
        <w:style w:val=""/>
        <w:category>
          <w:name w:val="常规"/>
          <w:gallery w:val="placeholder"/>
        </w:category>
        <w:types>
          <w:type w:val="bbPlcHdr"/>
        </w:types>
        <w:behaviors>
          <w:behavior w:val="content"/>
        </w:behaviors>
        <w:description w:val=""/>
        <w:guid w:val="{7BE65522-BE42-417E-A61A-794D4BC9E243}"/>
      </w:docPartPr>
      <w:docPartBody>
        <w:p w14:paraId="7762D2AA">
          <w:r>
            <w:rPr>
              <w:color w:val="808080"/>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23E"/>
    <w:rsid w:val="0032375B"/>
    <w:rsid w:val="003C3104"/>
    <w:rsid w:val="00C722F1"/>
    <w:rsid w:val="00EB2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B8623DBB2C24B3899CB0B000E5C5DBB"/>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8FE12C-16EA-4F8F-A8A1-ED38DA65EEBC}">
  <ds:schemaRefs/>
</ds:datastoreItem>
</file>

<file path=docProps/app.xml><?xml version="1.0" encoding="utf-8"?>
<Properties xmlns="http://schemas.openxmlformats.org/officeDocument/2006/extended-properties" xmlns:vt="http://schemas.openxmlformats.org/officeDocument/2006/docPropsVTypes">
  <Template>C:\Program Files (x86)\StandardEditor\template\行业标准.dotx</Template>
  <Company>PCMI</Company>
  <Pages>9</Pages>
  <Words>3050</Words>
  <Characters>3626</Characters>
  <Lines>70</Lines>
  <Paragraphs>19</Paragraphs>
  <TotalTime>6</TotalTime>
  <ScaleCrop>false</ScaleCrop>
  <LinksUpToDate>false</LinksUpToDate>
  <CharactersWithSpaces>3823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2023-06-15T08:31:00Z</dcterms:created>
  <dc:creator>ekk12</dc:creator>
  <dc:description>&lt;config cover="true" show_menu="true" version="1.0.0" doctype="SDKXY"&gt;_x000d_
&lt;/config&gt;</dc:description>
  <cp:lastModifiedBy>工作组</cp:lastModifiedBy>
  <cp:lastPrinted>2021-02-02T08:18:00Z</cp:lastPrinted>
  <dcterms:modified xsi:type="dcterms:W3CDTF">2026-07-01T02:09:08Z</dcterms:modified>
  <dc:title>行业标准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2052-12.1.0.26895</vt:lpwstr>
  </property>
  <property fmtid="{D5CDD505-2E9C-101B-9397-08002B2CF9AE}" pid="15" name="ICV">
    <vt:lpwstr>F2B39B0BAC0E41B593791A811B97D33A_13</vt:lpwstr>
  </property>
  <property fmtid="{D5CDD505-2E9C-101B-9397-08002B2CF9AE}" pid="16" name="KSOTemplateDocerSaveRecord">
    <vt:lpwstr>eyJoZGlkIjoiZjg4ZGUzMmU5ZDk0M2FjMzAzOTBhZmQxMjNkNTk0NTYiLCJ1c2VySWQiOiI0MDgwOTI1NzcifQ==</vt:lpwstr>
  </property>
</Properties>
</file>