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534361">
      <w:pPr>
        <w:framePr w:w="904" w:h="1540" w:hRule="exact" w:wrap="around" w:vAnchor="page" w:hAnchor="page" w:x="8621" w:y="194"/>
        <w:widowControl/>
        <w:shd w:val="solid" w:color="FFFFFF" w:fill="FFFFFF"/>
        <w:spacing w:line="0" w:lineRule="atLeast"/>
        <w:rPr>
          <w:rFonts w:hint="eastAsia" w:ascii="等线" w:hAnsi="等线" w:eastAsia="等线" w:cs="等线"/>
          <w:b/>
          <w:w w:val="130"/>
          <w:kern w:val="0"/>
          <w:sz w:val="100"/>
          <w:szCs w:val="100"/>
        </w:rPr>
      </w:pPr>
      <w:r>
        <w:rPr>
          <w:rFonts w:hint="eastAsia" w:ascii="等线" w:hAnsi="等线" w:eastAsia="等线" w:cs="等线"/>
          <w:b/>
          <w:w w:val="130"/>
          <w:kern w:val="0"/>
          <w:sz w:val="110"/>
          <w:szCs w:val="110"/>
        </w:rPr>
        <w:t>T</w:t>
      </w:r>
    </w:p>
    <w:p w14:paraId="1EBA4B5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szCs w:val="22"/>
          <w:lang w:eastAsia="zh-CN"/>
        </w:rPr>
      </w:pPr>
    </w:p>
    <w:p w14:paraId="5BF4A1A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黑体" w:hAnsi="黑体" w:eastAsia="黑体" w:cs="黑体"/>
          <w:color w:val="FF0000"/>
          <w:szCs w:val="22"/>
          <w:lang w:val="en-US" w:eastAsia="zh-CN"/>
        </w:rPr>
      </w:pPr>
      <w:r>
        <w:rPr>
          <w:rFonts w:hint="eastAsia" w:ascii="黑体" w:hAnsi="黑体" w:eastAsia="黑体" w:cs="黑体"/>
          <w:szCs w:val="22"/>
        </w:rPr>
        <w:t xml:space="preserve">ICS  13.260   </w:t>
      </w:r>
      <w:r>
        <w:rPr>
          <w:rFonts w:hint="eastAsia" w:ascii="黑体" w:hAnsi="黑体" w:eastAsia="黑体" w:cs="黑体"/>
          <w:szCs w:val="22"/>
          <w:lang w:val="en-US" w:eastAsia="zh-CN"/>
        </w:rPr>
        <w:t xml:space="preserve">    </w:t>
      </w:r>
    </w:p>
    <w:p w14:paraId="02484EC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cs="黑体"/>
          <w:szCs w:val="22"/>
          <w:lang w:val="en-US" w:eastAsia="zh-CN"/>
        </w:rPr>
      </w:pPr>
      <w:r>
        <w:rPr>
          <w:rFonts w:hint="eastAsia" w:ascii="黑体" w:hAnsi="黑体" w:eastAsia="黑体" w:cs="黑体"/>
          <w:szCs w:val="22"/>
        </w:rPr>
        <w:t xml:space="preserve">CCS  </w:t>
      </w:r>
      <w:r>
        <w:rPr>
          <w:rFonts w:hint="eastAsia" w:ascii="黑体" w:hAnsi="黑体" w:eastAsia="黑体" w:cs="黑体"/>
          <w:szCs w:val="22"/>
          <w:lang w:val="en-US" w:eastAsia="zh-CN"/>
        </w:rPr>
        <w:t>K15</w:t>
      </w:r>
    </w:p>
    <w:p w14:paraId="1373853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cs="黑体"/>
          <w:szCs w:val="22"/>
          <w:lang w:val="en-US" w:eastAsia="zh-CN"/>
        </w:rPr>
      </w:pPr>
    </w:p>
    <w:p w14:paraId="2ADCE863">
      <w:pPr>
        <w:spacing w:beforeAutospacing="0" w:line="360" w:lineRule="auto"/>
        <w:jc w:val="distribute"/>
        <w:rPr>
          <w:rFonts w:hint="eastAsia" w:ascii="隶属" w:hAnsi="隶属" w:eastAsia="隶属" w:cs="隶属"/>
          <w:b/>
          <w:bCs/>
          <w:sz w:val="84"/>
          <w:szCs w:val="84"/>
        </w:rPr>
      </w:pPr>
      <w:r>
        <w:rPr>
          <w:rFonts w:hint="eastAsia" w:ascii="黑体" w:hAnsi="黑体" w:eastAsia="黑体" w:cs="黑体"/>
          <w:b/>
          <w:bCs/>
          <w:sz w:val="84"/>
          <w:szCs w:val="84"/>
        </w:rPr>
        <w:t>团体标准</w:t>
      </w:r>
    </w:p>
    <w:p w14:paraId="344E3D92">
      <w:pPr>
        <w:wordWrap w:val="0"/>
        <w:spacing w:line="360" w:lineRule="auto"/>
        <w:ind w:right="0" w:rightChars="0"/>
        <w:jc w:val="right"/>
        <w:rPr>
          <w:rFonts w:hint="eastAsia" w:ascii="Times New Roman" w:hAnsi="Times New Roman" w:eastAsia="黑体" w:cs="Times New Roman"/>
          <w:szCs w:val="22"/>
          <w:lang w:val="en-US" w:eastAsia="zh-CN"/>
        </w:rPr>
      </w:pPr>
      <w:r>
        <w:rPr>
          <w:rFonts w:ascii="Times New Roman" w:hAnsi="Times New Roman" w:eastAsia="宋体" w:cs="Times New Roman"/>
          <w:color w:val="FF0000"/>
          <w:szCs w:val="22"/>
        </w:rPr>
        <w:t xml:space="preserve"> </w:t>
      </w:r>
      <w:r>
        <w:rPr>
          <w:rFonts w:ascii="Times New Roman" w:hAnsi="Times New Roman" w:eastAsia="宋体" w:cs="Times New Roman"/>
          <w:szCs w:val="22"/>
        </w:rPr>
        <w:t xml:space="preserve">  </w:t>
      </w:r>
      <w:r>
        <w:rPr>
          <w:rFonts w:hint="eastAsia" w:ascii="Times New Roman" w:hAnsi="Times New Roman" w:cs="Times New Roman"/>
          <w:szCs w:val="22"/>
          <w:lang w:val="en-US" w:eastAsia="zh-CN"/>
        </w:rPr>
        <w:t xml:space="preserve"> </w:t>
      </w:r>
      <w:r>
        <w:rPr>
          <w:rFonts w:hint="eastAsia" w:ascii="黑体" w:hAnsi="黑体" w:eastAsia="黑体" w:cs="黑体"/>
          <w:sz w:val="28"/>
          <w:szCs w:val="28"/>
        </w:rPr>
        <w:t xml:space="preserve"> T/</w:t>
      </w:r>
      <w:r>
        <w:rPr>
          <w:rFonts w:hint="eastAsia" w:ascii="黑体" w:hAnsi="黑体" w:eastAsia="黑体" w:cs="黑体"/>
          <w:sz w:val="28"/>
          <w:szCs w:val="28"/>
          <w:lang w:val="en-US" w:eastAsia="zh-CN"/>
        </w:rPr>
        <w:t>CWDPA</w:t>
      </w:r>
      <w:r>
        <w:rPr>
          <w:rFonts w:hint="eastAsia" w:ascii="黑体" w:hAnsi="黑体" w:eastAsia="黑体" w:cs="黑体"/>
          <w:sz w:val="28"/>
          <w:szCs w:val="28"/>
        </w:rPr>
        <w:t xml:space="preserve"> </w:t>
      </w:r>
      <w:r>
        <w:rPr>
          <w:rFonts w:hint="eastAsia" w:ascii="黑体" w:hAnsi="黑体" w:eastAsia="黑体" w:cs="黑体"/>
          <w:sz w:val="28"/>
          <w:szCs w:val="28"/>
          <w:lang w:val="en-US" w:eastAsia="zh-CN"/>
        </w:rPr>
        <w:t>XXX</w:t>
      </w:r>
      <w:r>
        <w:rPr>
          <w:rFonts w:hint="eastAsia" w:ascii="黑体" w:hAnsi="黑体" w:eastAsia="黑体" w:cs="黑体"/>
          <w:sz w:val="28"/>
          <w:szCs w:val="28"/>
        </w:rPr>
        <w:t>—202</w:t>
      </w:r>
      <w:r>
        <w:rPr>
          <w:rFonts w:hint="eastAsia" w:ascii="黑体" w:hAnsi="黑体" w:eastAsia="黑体" w:cs="黑体"/>
          <w:sz w:val="28"/>
          <w:szCs w:val="28"/>
          <w:lang w:val="en-US" w:eastAsia="zh-CN"/>
        </w:rPr>
        <w:t>6</w:t>
      </w:r>
    </w:p>
    <w:p w14:paraId="582FB557">
      <w:pPr>
        <w:spacing w:line="360" w:lineRule="auto"/>
        <w:jc w:val="left"/>
        <w:rPr>
          <w:rFonts w:ascii="Times New Roman" w:hAnsi="Times New Roman" w:eastAsia="宋体" w:cs="Times New Roman"/>
          <w:szCs w:val="22"/>
        </w:rPr>
      </w:pPr>
      <w:r>
        <w:rPr>
          <w:rFonts w:ascii="Times New Roman" w:hAnsi="Times New Roman" w:eastAsia="宋体" w:cs="Times New Roman"/>
          <w:szCs w:val="22"/>
        </w:rPr>
        <w:drawing>
          <wp:inline distT="0" distB="0" distL="114300" distR="114300">
            <wp:extent cx="5525770" cy="10795"/>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a:off x="0" y="0"/>
                      <a:ext cx="5525770" cy="10795"/>
                    </a:xfrm>
                    <a:prstGeom prst="rect">
                      <a:avLst/>
                    </a:prstGeom>
                    <a:noFill/>
                    <a:ln>
                      <a:noFill/>
                    </a:ln>
                  </pic:spPr>
                </pic:pic>
              </a:graphicData>
            </a:graphic>
          </wp:inline>
        </w:drawing>
      </w:r>
    </w:p>
    <w:p w14:paraId="25AC21B8">
      <w:pPr>
        <w:spacing w:line="360" w:lineRule="auto"/>
        <w:rPr>
          <w:rFonts w:ascii="Times New Roman" w:hAnsi="Times New Roman" w:eastAsia="宋体" w:cs="Times New Roman"/>
          <w:szCs w:val="22"/>
        </w:rPr>
      </w:pPr>
    </w:p>
    <w:p w14:paraId="2E3D06D4">
      <w:pPr>
        <w:spacing w:line="360" w:lineRule="auto"/>
        <w:rPr>
          <w:rFonts w:ascii="Times New Roman" w:hAnsi="Times New Roman" w:eastAsia="宋体" w:cs="Times New Roman"/>
          <w:szCs w:val="22"/>
        </w:rPr>
      </w:pPr>
    </w:p>
    <w:p w14:paraId="118AED41">
      <w:pPr>
        <w:spacing w:line="360" w:lineRule="auto"/>
        <w:jc w:val="center"/>
        <w:rPr>
          <w:rFonts w:ascii="Times New Roman" w:hAnsi="Times New Roman" w:eastAsia="黑体" w:cs="Times New Roman"/>
          <w:sz w:val="52"/>
          <w:szCs w:val="52"/>
        </w:rPr>
      </w:pPr>
    </w:p>
    <w:p w14:paraId="6D94EED4">
      <w:pPr>
        <w:spacing w:line="360" w:lineRule="auto"/>
        <w:jc w:val="center"/>
        <w:rPr>
          <w:rFonts w:ascii="Times New Roman" w:hAnsi="Times New Roman" w:eastAsia="黑体" w:cs="Times New Roman"/>
          <w:sz w:val="52"/>
          <w:szCs w:val="52"/>
        </w:rPr>
      </w:pPr>
    </w:p>
    <w:p w14:paraId="09064A7A">
      <w:pPr>
        <w:spacing w:line="360" w:lineRule="auto"/>
        <w:jc w:val="center"/>
        <w:rPr>
          <w:rFonts w:hint="eastAsia" w:ascii="黑体" w:hAnsi="黑体" w:eastAsia="黑体" w:cs="黑体"/>
          <w:sz w:val="52"/>
          <w:szCs w:val="52"/>
          <w:lang w:eastAsia="zh-CN"/>
        </w:rPr>
      </w:pPr>
      <w:r>
        <w:rPr>
          <w:rFonts w:hint="eastAsia" w:ascii="黑体" w:hAnsi="黑体" w:eastAsia="黑体" w:cs="黑体"/>
          <w:sz w:val="52"/>
          <w:szCs w:val="52"/>
          <w:lang w:eastAsia="zh-CN"/>
        </w:rPr>
        <w:t>电力绝缘梯</w:t>
      </w:r>
    </w:p>
    <w:p w14:paraId="3E031993">
      <w:pPr>
        <w:spacing w:line="360" w:lineRule="auto"/>
        <w:jc w:val="center"/>
        <w:rPr>
          <w:rFonts w:ascii="Times New Roman" w:hAnsi="Times New Roman" w:eastAsia="黑体" w:cs="Times New Roman"/>
          <w:sz w:val="28"/>
          <w:szCs w:val="28"/>
        </w:rPr>
      </w:pPr>
      <w:r>
        <w:rPr>
          <w:rFonts w:hint="default" w:ascii="Times New Roman" w:hAnsi="Times New Roman" w:eastAsia="宋体" w:cs="Times New Roman"/>
          <w:sz w:val="28"/>
          <w:szCs w:val="28"/>
        </w:rPr>
        <w:t>Power insulating ladders</w:t>
      </w:r>
    </w:p>
    <w:p w14:paraId="1F55A8D3">
      <w:pPr>
        <w:spacing w:line="360" w:lineRule="auto"/>
        <w:jc w:val="left"/>
        <w:rPr>
          <w:rFonts w:ascii="Times New Roman" w:hAnsi="Times New Roman" w:eastAsia="黑体" w:cs="Times New Roman"/>
          <w:sz w:val="28"/>
          <w:szCs w:val="28"/>
        </w:rPr>
      </w:pPr>
    </w:p>
    <w:p w14:paraId="538E65C1">
      <w:pPr>
        <w:spacing w:line="360" w:lineRule="auto"/>
        <w:jc w:val="left"/>
        <w:rPr>
          <w:rFonts w:ascii="Times New Roman" w:hAnsi="Times New Roman" w:eastAsia="黑体" w:cs="Times New Roman"/>
          <w:sz w:val="28"/>
          <w:szCs w:val="28"/>
        </w:rPr>
      </w:pPr>
    </w:p>
    <w:p w14:paraId="3C3CAA2E">
      <w:pPr>
        <w:spacing w:line="360" w:lineRule="auto"/>
        <w:jc w:val="left"/>
        <w:rPr>
          <w:rFonts w:ascii="Times New Roman" w:hAnsi="Times New Roman" w:eastAsia="黑体" w:cs="Times New Roman"/>
          <w:sz w:val="28"/>
          <w:szCs w:val="28"/>
        </w:rPr>
      </w:pPr>
    </w:p>
    <w:p w14:paraId="3BED4558">
      <w:pPr>
        <w:spacing w:line="360" w:lineRule="auto"/>
        <w:jc w:val="left"/>
        <w:rPr>
          <w:rFonts w:ascii="Times New Roman" w:hAnsi="Times New Roman" w:eastAsia="黑体" w:cs="Times New Roman"/>
          <w:sz w:val="28"/>
          <w:szCs w:val="28"/>
        </w:rPr>
      </w:pPr>
    </w:p>
    <w:p w14:paraId="10943405">
      <w:pPr>
        <w:spacing w:line="360" w:lineRule="auto"/>
        <w:jc w:val="left"/>
        <w:rPr>
          <w:rFonts w:ascii="Times New Roman" w:hAnsi="Times New Roman" w:eastAsia="黑体" w:cs="Times New Roman"/>
          <w:sz w:val="28"/>
          <w:szCs w:val="28"/>
        </w:rPr>
      </w:pPr>
    </w:p>
    <w:p w14:paraId="65A79BEE">
      <w:pPr>
        <w:spacing w:line="360" w:lineRule="auto"/>
        <w:jc w:val="left"/>
        <w:rPr>
          <w:rFonts w:ascii="Times New Roman" w:hAnsi="Times New Roman" w:eastAsia="黑体" w:cs="Times New Roman"/>
          <w:sz w:val="28"/>
          <w:szCs w:val="28"/>
        </w:rPr>
      </w:pPr>
    </w:p>
    <w:p w14:paraId="10E0D6CF">
      <w:pPr>
        <w:spacing w:line="360" w:lineRule="auto"/>
        <w:jc w:val="left"/>
        <w:rPr>
          <w:rFonts w:ascii="Times New Roman" w:hAnsi="Times New Roman" w:eastAsia="黑体" w:cs="Times New Roman"/>
          <w:sz w:val="28"/>
          <w:szCs w:val="28"/>
        </w:rPr>
      </w:pPr>
    </w:p>
    <w:p w14:paraId="6533516B">
      <w:pPr>
        <w:spacing w:line="360" w:lineRule="auto"/>
        <w:jc w:val="left"/>
        <w:rPr>
          <w:rFonts w:hint="eastAsia" w:ascii="黑体" w:hAnsi="黑体" w:eastAsia="黑体" w:cs="黑体"/>
          <w:sz w:val="52"/>
          <w:szCs w:val="52"/>
        </w:rPr>
      </w:pPr>
      <w:r>
        <w:rPr>
          <w:rFonts w:hint="eastAsia" w:ascii="黑体" w:hAnsi="黑体" w:eastAsia="黑体" w:cs="黑体"/>
          <w:sz w:val="28"/>
          <w:szCs w:val="28"/>
        </w:rPr>
        <w:t>202</w:t>
      </w:r>
      <w:r>
        <w:rPr>
          <w:rFonts w:hint="eastAsia" w:ascii="黑体" w:hAnsi="黑体" w:eastAsia="黑体" w:cs="黑体"/>
          <w:sz w:val="28"/>
          <w:szCs w:val="28"/>
          <w:lang w:val="en-US" w:eastAsia="zh-CN"/>
        </w:rPr>
        <w:t>6</w:t>
      </w:r>
      <w:r>
        <w:rPr>
          <w:rFonts w:hint="eastAsia" w:ascii="黑体" w:hAnsi="黑体" w:eastAsia="黑体" w:cs="黑体"/>
          <w:sz w:val="28"/>
          <w:szCs w:val="28"/>
        </w:rPr>
        <w:t>-</w:t>
      </w:r>
      <w:r>
        <w:rPr>
          <w:rFonts w:hint="eastAsia" w:ascii="黑体" w:hAnsi="黑体" w:eastAsia="黑体" w:cs="黑体"/>
          <w:sz w:val="28"/>
          <w:szCs w:val="28"/>
          <w:lang w:val="en-US" w:eastAsia="zh-CN"/>
        </w:rPr>
        <w:t>X</w:t>
      </w:r>
      <w:r>
        <w:rPr>
          <w:rFonts w:hint="eastAsia" w:ascii="黑体" w:hAnsi="黑体" w:eastAsia="黑体" w:cs="黑体"/>
          <w:sz w:val="28"/>
          <w:szCs w:val="28"/>
        </w:rPr>
        <w:t>-</w:t>
      </w:r>
      <w:r>
        <w:rPr>
          <w:rFonts w:hint="eastAsia" w:ascii="黑体" w:hAnsi="黑体" w:eastAsia="黑体" w:cs="黑体"/>
          <w:sz w:val="28"/>
          <w:szCs w:val="28"/>
          <w:lang w:val="en-US" w:eastAsia="zh-CN"/>
        </w:rPr>
        <w:t>XX</w:t>
      </w:r>
      <w:r>
        <w:rPr>
          <w:rFonts w:hint="eastAsia" w:ascii="黑体" w:hAnsi="黑体" w:eastAsia="黑体" w:cs="黑体"/>
          <w:sz w:val="28"/>
          <w:szCs w:val="28"/>
        </w:rPr>
        <w:t xml:space="preserve">发布                                </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202</w:t>
      </w:r>
      <w:r>
        <w:rPr>
          <w:rFonts w:hint="eastAsia" w:ascii="黑体" w:hAnsi="黑体" w:eastAsia="黑体" w:cs="黑体"/>
          <w:sz w:val="28"/>
          <w:szCs w:val="28"/>
          <w:lang w:val="en-US" w:eastAsia="zh-CN"/>
        </w:rPr>
        <w:t>6</w:t>
      </w:r>
      <w:r>
        <w:rPr>
          <w:rFonts w:hint="eastAsia" w:ascii="黑体" w:hAnsi="黑体" w:eastAsia="黑体" w:cs="黑体"/>
          <w:sz w:val="28"/>
          <w:szCs w:val="28"/>
        </w:rPr>
        <w:t>-</w:t>
      </w:r>
      <w:r>
        <w:rPr>
          <w:rFonts w:hint="eastAsia" w:ascii="黑体" w:hAnsi="黑体" w:eastAsia="黑体" w:cs="黑体"/>
          <w:sz w:val="28"/>
          <w:szCs w:val="28"/>
          <w:lang w:val="en-US" w:eastAsia="zh-CN"/>
        </w:rPr>
        <w:t>X</w:t>
      </w:r>
      <w:r>
        <w:rPr>
          <w:rFonts w:hint="eastAsia" w:ascii="黑体" w:hAnsi="黑体" w:eastAsia="黑体" w:cs="黑体"/>
          <w:sz w:val="28"/>
          <w:szCs w:val="28"/>
        </w:rPr>
        <w:t>-</w:t>
      </w:r>
      <w:r>
        <w:rPr>
          <w:rFonts w:hint="eastAsia" w:ascii="黑体" w:hAnsi="黑体" w:eastAsia="黑体" w:cs="黑体"/>
          <w:sz w:val="28"/>
          <w:szCs w:val="28"/>
          <w:lang w:val="en-US" w:eastAsia="zh-CN"/>
        </w:rPr>
        <w:t>XX</w:t>
      </w:r>
      <w:r>
        <w:rPr>
          <w:rFonts w:hint="eastAsia" w:ascii="黑体" w:hAnsi="黑体" w:eastAsia="黑体" w:cs="黑体"/>
          <w:sz w:val="28"/>
          <w:szCs w:val="28"/>
        </w:rPr>
        <w:t>实施</w:t>
      </w:r>
    </w:p>
    <w:p w14:paraId="067624B1">
      <w:pPr>
        <w:spacing w:line="360" w:lineRule="auto"/>
        <w:jc w:val="center"/>
        <w:rPr>
          <w:rFonts w:hint="eastAsia" w:ascii="黑体" w:hAnsi="黑体" w:eastAsia="黑体" w:cs="黑体"/>
          <w:sz w:val="52"/>
          <w:szCs w:val="52"/>
        </w:rPr>
        <w:sectPr>
          <w:footerReference r:id="rId8" w:type="first"/>
          <w:footerReference r:id="rId6" w:type="default"/>
          <w:headerReference r:id="rId5" w:type="even"/>
          <w:footerReference r:id="rId7" w:type="even"/>
          <w:type w:val="continuous"/>
          <w:pgSz w:w="11906" w:h="16838"/>
          <w:pgMar w:top="590" w:right="1800" w:bottom="1157" w:left="1463" w:header="851" w:footer="992" w:gutter="0"/>
          <w:pgBorders>
            <w:top w:val="none" w:sz="0" w:space="0"/>
            <w:left w:val="none" w:sz="0" w:space="0"/>
            <w:bottom w:val="none" w:sz="0" w:space="0"/>
            <w:right w:val="none" w:sz="0" w:space="0"/>
          </w:pgBorders>
          <w:pgNumType w:fmt="upperRoman" w:start="2" w:chapStyle="1"/>
          <w:cols w:space="425" w:num="1"/>
          <w:titlePg/>
          <w:docGrid w:type="lines" w:linePitch="312" w:charSpace="0"/>
        </w:sectPr>
      </w:pPr>
      <w:r>
        <w:rPr>
          <w:rFonts w:hint="eastAsia" w:ascii="隶属" w:hAnsi="隶属" w:eastAsia="隶属" w:cs="隶属"/>
          <w:b/>
          <w:bCs/>
          <w:szCs w:val="22"/>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1270</wp:posOffset>
                </wp:positionV>
                <wp:extent cx="5504815" cy="20955"/>
                <wp:effectExtent l="0" t="4445" r="635" b="12700"/>
                <wp:wrapNone/>
                <wp:docPr id="3" name="直接箭头连接符 3"/>
                <wp:cNvGraphicFramePr/>
                <a:graphic xmlns:a="http://schemas.openxmlformats.org/drawingml/2006/main">
                  <a:graphicData uri="http://schemas.microsoft.com/office/word/2010/wordprocessingShape">
                    <wps:wsp>
                      <wps:cNvCnPr/>
                      <wps:spPr>
                        <a:xfrm flipV="1">
                          <a:off x="0" y="0"/>
                          <a:ext cx="5504815" cy="2095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1.5pt;margin-top:0.1pt;height:1.65pt;width:433.45pt;z-index:251659264;mso-width-relative:page;mso-height-relative:page;" filled="f" stroked="t" coordsize="21600,21600" o:gfxdata="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R7boDVAAAABQEAAA8AAAAAAAAAAQAgAAAAIgAA&#10;AGRycy9kb3ducmV2LnhtbFBLAQIUABQAAAAIAIdO4kBwqksACwIAAAQEAAAOAAAAAAAAAAEAIAAA&#10;ACQBAABkcnMvZTJvRG9jLnhtbFBLBQYAAAAABgAGAFkBAAChBQAAAAA=&#10;">
                <v:fill on="f" focussize="0,0"/>
                <v:stroke color="#000000" joinstyle="round"/>
                <v:imagedata o:title=""/>
                <o:lock v:ext="edit" aspectratio="f"/>
              </v:shape>
            </w:pict>
          </mc:Fallback>
        </mc:AlternateContent>
      </w:r>
      <w:r>
        <w:rPr>
          <w:rFonts w:hint="eastAsia" w:ascii="隶属" w:hAnsi="隶属" w:eastAsia="隶属" w:cs="隶属"/>
          <w:b/>
          <w:bCs/>
          <w:sz w:val="52"/>
          <w:szCs w:val="52"/>
          <w:lang w:eastAsia="zh-CN"/>
        </w:rPr>
        <w:t>中国西部开发促进会</w:t>
      </w:r>
      <w:r>
        <w:rPr>
          <w:rFonts w:hint="eastAsia" w:ascii="黑体" w:hAnsi="黑体" w:eastAsia="黑体" w:cs="黑体"/>
          <w:sz w:val="52"/>
          <w:szCs w:val="52"/>
        </w:rPr>
        <w:t xml:space="preserve"> </w:t>
      </w:r>
      <w:r>
        <w:rPr>
          <w:rFonts w:hint="eastAsia" w:ascii="黑体" w:hAnsi="黑体" w:eastAsia="黑体" w:cs="黑体"/>
          <w:sz w:val="28"/>
          <w:szCs w:val="28"/>
          <w:lang w:val="en-US" w:eastAsia="zh-CN"/>
        </w:rPr>
        <w:t>发 布</w:t>
      </w:r>
      <w:r>
        <w:rPr>
          <w:rFonts w:hint="eastAsia" w:ascii="黑体" w:hAnsi="黑体" w:eastAsia="黑体" w:cs="黑体"/>
          <w:sz w:val="52"/>
          <w:szCs w:val="52"/>
        </w:rPr>
        <w:t xml:space="preserve"> </w:t>
      </w:r>
    </w:p>
    <w:p w14:paraId="7EA1BE5F">
      <w:pPr>
        <w:pStyle w:val="96"/>
        <w:keepNext w:val="0"/>
        <w:keepLines w:val="0"/>
        <w:pageBreakBefore w:val="0"/>
        <w:widowControl w:val="0"/>
        <w:kinsoku/>
        <w:wordWrap/>
        <w:overflowPunct/>
        <w:topLinePunct w:val="0"/>
        <w:autoSpaceDE/>
        <w:autoSpaceDN/>
        <w:bidi w:val="0"/>
        <w:adjustRightInd w:val="0"/>
        <w:snapToGrid/>
        <w:spacing w:before="850" w:after="680" w:afterLines="0"/>
        <w:textAlignment w:val="auto"/>
      </w:pPr>
      <w:bookmarkStart w:id="0" w:name="BookMark1"/>
      <w:r>
        <w:rPr>
          <w:spacing w:val="320"/>
        </w:rPr>
        <w:t>目</w:t>
      </w:r>
      <w:r>
        <w:t>次</w:t>
      </w:r>
    </w:p>
    <w:p w14:paraId="7B37CA10">
      <w:pPr>
        <w:pStyle w:val="20"/>
        <w:tabs>
          <w:tab w:val="right" w:leader="dot" w:pos="8643"/>
        </w:tabs>
        <w:rPr>
          <w:rFonts w:hint="eastAsia" w:ascii="宋体" w:hAnsi="宋体" w:eastAsia="宋体" w:cs="宋体"/>
        </w:rPr>
      </w:pP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TOC \o "1-1" \h \t "标准文件_一级条标题,2,标准文件_附录一级条标题,2," </w:instrText>
      </w:r>
      <w:r>
        <w:rPr>
          <w:rFonts w:hint="eastAsia" w:ascii="宋体" w:hAnsi="宋体" w:eastAsia="宋体" w:cs="宋体"/>
          <w:sz w:val="21"/>
          <w:szCs w:val="21"/>
          <w:highlight w:val="none"/>
        </w:rPr>
        <w:fldChar w:fldCharType="separate"/>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_Toc15925 </w:instrText>
      </w:r>
      <w:r>
        <w:rPr>
          <w:rFonts w:hint="eastAsia" w:ascii="宋体" w:hAnsi="宋体" w:eastAsia="宋体" w:cs="宋体"/>
          <w:szCs w:val="21"/>
          <w:highlight w:val="none"/>
        </w:rPr>
        <w:fldChar w:fldCharType="separate"/>
      </w:r>
      <w:r>
        <w:rPr>
          <w:rFonts w:hint="eastAsia" w:ascii="宋体" w:hAnsi="宋体" w:eastAsia="宋体" w:cs="宋体"/>
          <w:i w:val="0"/>
        </w:rPr>
        <w:t xml:space="preserve">1 </w:t>
      </w:r>
      <w:r>
        <w:rPr>
          <w:rFonts w:hint="eastAsia" w:ascii="宋体" w:hAnsi="宋体" w:eastAsia="宋体" w:cs="宋体"/>
        </w:rPr>
        <w:t>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_Toc15925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67F95D6D">
      <w:pPr>
        <w:pStyle w:val="20"/>
        <w:tabs>
          <w:tab w:val="right" w:leader="dot" w:pos="8643"/>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_Toc21263 </w:instrText>
      </w:r>
      <w:r>
        <w:rPr>
          <w:rFonts w:hint="eastAsia" w:ascii="宋体" w:hAnsi="宋体" w:eastAsia="宋体" w:cs="宋体"/>
          <w:szCs w:val="21"/>
          <w:highlight w:val="none"/>
        </w:rPr>
        <w:fldChar w:fldCharType="separate"/>
      </w:r>
      <w:r>
        <w:rPr>
          <w:rFonts w:hint="eastAsia" w:ascii="宋体" w:hAnsi="宋体" w:eastAsia="宋体" w:cs="宋体"/>
          <w:i w:val="0"/>
        </w:rPr>
        <w:t xml:space="preserve">2 </w:t>
      </w:r>
      <w:r>
        <w:rPr>
          <w:rFonts w:hint="eastAsia" w:ascii="宋体" w:hAnsi="宋体" w:eastAsia="宋体" w:cs="宋体"/>
          <w:highlight w:val="none"/>
        </w:rPr>
        <w:t>规范性引用文件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_Toc21263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26957BDD">
      <w:pPr>
        <w:pStyle w:val="20"/>
        <w:tabs>
          <w:tab w:val="right" w:leader="dot" w:pos="8643"/>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_Toc20111 </w:instrText>
      </w:r>
      <w:r>
        <w:rPr>
          <w:rFonts w:hint="eastAsia" w:ascii="宋体" w:hAnsi="宋体" w:eastAsia="宋体" w:cs="宋体"/>
          <w:szCs w:val="21"/>
          <w:highlight w:val="none"/>
        </w:rPr>
        <w:fldChar w:fldCharType="separate"/>
      </w:r>
      <w:r>
        <w:rPr>
          <w:rFonts w:hint="eastAsia" w:ascii="宋体" w:hAnsi="宋体" w:eastAsia="宋体" w:cs="宋体"/>
          <w:i w:val="0"/>
        </w:rPr>
        <w:t xml:space="preserve">3 </w:t>
      </w:r>
      <w:r>
        <w:rPr>
          <w:rFonts w:hint="eastAsia" w:ascii="宋体" w:hAnsi="宋体" w:eastAsia="宋体" w:cs="宋体"/>
          <w:szCs w:val="21"/>
        </w:rPr>
        <w:t>术语和定义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_Toc20111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5371ADBF">
      <w:pPr>
        <w:pStyle w:val="20"/>
        <w:tabs>
          <w:tab w:val="right" w:leader="dot" w:pos="8643"/>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_Toc5319 </w:instrText>
      </w:r>
      <w:r>
        <w:rPr>
          <w:rFonts w:hint="eastAsia" w:ascii="宋体" w:hAnsi="宋体" w:eastAsia="宋体" w:cs="宋体"/>
          <w:szCs w:val="21"/>
          <w:highlight w:val="none"/>
        </w:rPr>
        <w:fldChar w:fldCharType="separate"/>
      </w:r>
      <w:r>
        <w:rPr>
          <w:rFonts w:hint="eastAsia" w:ascii="宋体" w:hAnsi="宋体" w:eastAsia="宋体" w:cs="宋体"/>
          <w:i w:val="0"/>
          <w:szCs w:val="21"/>
          <w:lang w:val="en-US" w:eastAsia="zh-CN"/>
        </w:rPr>
        <w:t xml:space="preserve">4 </w:t>
      </w:r>
      <w:r>
        <w:rPr>
          <w:rFonts w:hint="eastAsia" w:ascii="宋体" w:hAnsi="宋体" w:eastAsia="宋体" w:cs="宋体"/>
          <w:szCs w:val="21"/>
          <w:lang w:val="en-US" w:eastAsia="zh-CN"/>
        </w:rPr>
        <w:t>分类与命名</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_Toc5319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3202C4F6">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_Toc30793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 </w:t>
      </w:r>
      <w:r>
        <w:rPr>
          <w:rFonts w:hint="eastAsia" w:ascii="宋体" w:hAnsi="宋体" w:eastAsia="宋体" w:cs="宋体"/>
          <w:lang w:val="en-US" w:eastAsia="zh-CN"/>
        </w:rPr>
        <w:t>分类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_Toc30793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3BF49FD1">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_Toc27981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 </w:t>
      </w:r>
      <w:r>
        <w:rPr>
          <w:rFonts w:hint="eastAsia" w:ascii="宋体" w:hAnsi="宋体" w:eastAsia="宋体" w:cs="宋体"/>
          <w:lang w:val="en-US" w:eastAsia="zh-CN"/>
        </w:rPr>
        <w:t>命名</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_Toc27981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2694F18F">
      <w:pPr>
        <w:pStyle w:val="20"/>
        <w:tabs>
          <w:tab w:val="right" w:leader="dot" w:pos="8643"/>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_Toc11732 </w:instrText>
      </w:r>
      <w:r>
        <w:rPr>
          <w:rFonts w:hint="eastAsia" w:ascii="宋体" w:hAnsi="宋体" w:eastAsia="宋体" w:cs="宋体"/>
          <w:szCs w:val="21"/>
          <w:highlight w:val="none"/>
        </w:rPr>
        <w:fldChar w:fldCharType="separate"/>
      </w:r>
      <w:r>
        <w:rPr>
          <w:rFonts w:hint="eastAsia" w:ascii="宋体" w:hAnsi="宋体" w:eastAsia="宋体" w:cs="宋体"/>
          <w:i w:val="0"/>
          <w:szCs w:val="21"/>
          <w:lang w:val="en-US" w:eastAsia="zh-CN"/>
        </w:rPr>
        <w:t xml:space="preserve">5 </w:t>
      </w:r>
      <w:r>
        <w:rPr>
          <w:rFonts w:hint="eastAsia" w:ascii="宋体" w:hAnsi="宋体" w:eastAsia="宋体" w:cs="宋体"/>
          <w:szCs w:val="21"/>
          <w:lang w:val="en-US" w:eastAsia="zh-CN"/>
        </w:rPr>
        <w:t>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_Toc11732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1544E4B2">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_Toc21241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 </w:t>
      </w:r>
      <w:r>
        <w:rPr>
          <w:rFonts w:hint="eastAsia" w:ascii="宋体" w:hAnsi="宋体" w:eastAsia="宋体" w:cs="宋体"/>
          <w:lang w:val="en-US" w:eastAsia="zh-CN"/>
        </w:rPr>
        <w:t>一般要求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_Toc21241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5C36B75D">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_Toc7951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5.2 </w:t>
      </w:r>
      <w:r>
        <w:rPr>
          <w:rFonts w:hint="eastAsia" w:ascii="宋体" w:hAnsi="宋体" w:eastAsia="宋体" w:cs="宋体"/>
          <w:lang w:val="en-US" w:eastAsia="zh-CN"/>
        </w:rPr>
        <w:t>材料要求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_Toc7951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53637EDF">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_Toc31015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 </w:t>
      </w:r>
      <w:r>
        <w:rPr>
          <w:rFonts w:hint="eastAsia" w:ascii="宋体" w:hAnsi="宋体" w:eastAsia="宋体" w:cs="宋体"/>
          <w:lang w:val="en-US" w:eastAsia="zh-CN"/>
        </w:rPr>
        <w:t>外观与结构要求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_Toc31015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33286251">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_Toc7426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 </w:t>
      </w:r>
      <w:r>
        <w:rPr>
          <w:rFonts w:hint="eastAsia" w:ascii="宋体" w:hAnsi="宋体" w:eastAsia="宋体" w:cs="宋体"/>
          <w:lang w:val="en-US" w:eastAsia="zh-CN"/>
        </w:rPr>
        <w:t>尺寸与公差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_Toc7426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2C7F3C96">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_Toc4983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5.5 </w:t>
      </w:r>
      <w:r>
        <w:rPr>
          <w:rFonts w:hint="eastAsia" w:ascii="宋体" w:hAnsi="宋体" w:eastAsia="宋体" w:cs="宋体"/>
          <w:lang w:val="en-US" w:eastAsia="zh-CN"/>
        </w:rPr>
        <w:t>机械性能要求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_Toc4983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19D396A9">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_Toc24759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5.6 </w:t>
      </w:r>
      <w:r>
        <w:rPr>
          <w:rFonts w:hint="eastAsia" w:ascii="宋体" w:hAnsi="宋体" w:eastAsia="宋体" w:cs="宋体"/>
          <w:lang w:val="en-US" w:eastAsia="zh-CN"/>
        </w:rPr>
        <w:t>电气性能要求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_Toc24759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724828B0">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_Toc8972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5.7 </w:t>
      </w:r>
      <w:r>
        <w:rPr>
          <w:rFonts w:hint="eastAsia" w:ascii="宋体" w:hAnsi="宋体" w:eastAsia="宋体" w:cs="宋体"/>
          <w:lang w:val="en-US" w:eastAsia="zh-CN"/>
        </w:rPr>
        <w:t>高低温性能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_Toc8972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792E487B">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_Toc27133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5.8 </w:t>
      </w:r>
      <w:r>
        <w:rPr>
          <w:rFonts w:hint="eastAsia" w:ascii="宋体" w:hAnsi="宋体" w:eastAsia="宋体" w:cs="宋体"/>
          <w:lang w:val="en-US" w:eastAsia="zh-CN"/>
        </w:rPr>
        <w:t>老化性能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_Toc27133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58E3F796">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_Toc1739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5.9 </w:t>
      </w:r>
      <w:r>
        <w:rPr>
          <w:rFonts w:hint="eastAsia" w:ascii="宋体" w:hAnsi="宋体" w:eastAsia="宋体" w:cs="宋体"/>
          <w:lang w:val="en-US" w:eastAsia="zh-CN"/>
        </w:rPr>
        <w:t>金属件防锈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_Toc1739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4425A1F0">
      <w:pPr>
        <w:pStyle w:val="20"/>
        <w:tabs>
          <w:tab w:val="right" w:leader="dot" w:pos="8643"/>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_Toc18739 </w:instrText>
      </w:r>
      <w:r>
        <w:rPr>
          <w:rFonts w:hint="eastAsia" w:ascii="宋体" w:hAnsi="宋体" w:eastAsia="宋体" w:cs="宋体"/>
          <w:szCs w:val="21"/>
          <w:highlight w:val="none"/>
        </w:rPr>
        <w:fldChar w:fldCharType="separate"/>
      </w:r>
      <w:r>
        <w:rPr>
          <w:rFonts w:hint="eastAsia" w:ascii="宋体" w:hAnsi="宋体" w:eastAsia="宋体" w:cs="宋体"/>
          <w:i w:val="0"/>
          <w:lang w:val="en-US" w:eastAsia="zh-CN"/>
        </w:rPr>
        <w:t xml:space="preserve">6 </w:t>
      </w:r>
      <w:r>
        <w:rPr>
          <w:rFonts w:hint="eastAsia" w:ascii="宋体" w:hAnsi="宋体" w:eastAsia="宋体" w:cs="宋体"/>
          <w:lang w:val="en-US" w:eastAsia="zh-CN"/>
        </w:rPr>
        <w:t>试验方法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_Toc18739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4C018FF1">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_Toc11896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 </w:t>
      </w:r>
      <w:r>
        <w:rPr>
          <w:rFonts w:hint="eastAsia" w:ascii="宋体" w:hAnsi="宋体" w:eastAsia="宋体" w:cs="宋体"/>
          <w:lang w:val="en-US" w:eastAsia="zh-CN"/>
        </w:rPr>
        <w:t>外观、结构检查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_Toc11896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0D7CD656">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_Toc21602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 </w:t>
      </w:r>
      <w:r>
        <w:rPr>
          <w:rFonts w:hint="eastAsia" w:ascii="宋体" w:hAnsi="宋体" w:eastAsia="宋体" w:cs="宋体"/>
          <w:lang w:val="en-US" w:eastAsia="zh-CN"/>
        </w:rPr>
        <w:t>尺寸与公差检查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_Toc21602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788C74AF">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_Toc4073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6.3 </w:t>
      </w:r>
      <w:r>
        <w:rPr>
          <w:rFonts w:hint="eastAsia" w:ascii="宋体" w:hAnsi="宋体" w:eastAsia="宋体" w:cs="宋体"/>
          <w:lang w:val="en-US" w:eastAsia="zh-CN"/>
        </w:rPr>
        <w:t>机械性能试验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_Toc4073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3FC86DE8">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_Toc2610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6.4 </w:t>
      </w:r>
      <w:r>
        <w:rPr>
          <w:rFonts w:hint="eastAsia" w:ascii="宋体" w:hAnsi="宋体" w:eastAsia="宋体" w:cs="宋体"/>
          <w:lang w:val="en-US" w:eastAsia="zh-CN"/>
        </w:rPr>
        <w:t>电气性能试验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_Toc2610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0B435B28">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_Toc13994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6.5 </w:t>
      </w:r>
      <w:r>
        <w:rPr>
          <w:rFonts w:hint="eastAsia" w:ascii="宋体" w:hAnsi="宋体" w:eastAsia="宋体" w:cs="宋体"/>
          <w:lang w:val="en-US" w:eastAsia="zh-CN"/>
        </w:rPr>
        <w:t>高低温试验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_Toc13994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1CA5AE3C">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_Toc14718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6.6 </w:t>
      </w:r>
      <w:r>
        <w:rPr>
          <w:rFonts w:hint="eastAsia" w:ascii="宋体" w:hAnsi="宋体" w:eastAsia="宋体" w:cs="宋体"/>
          <w:lang w:val="en-US" w:eastAsia="zh-CN"/>
        </w:rPr>
        <w:t>老化试验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_Toc14718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3EFD0929">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_Toc18872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6.7 </w:t>
      </w:r>
      <w:r>
        <w:rPr>
          <w:rFonts w:hint="eastAsia" w:ascii="宋体" w:hAnsi="宋体" w:eastAsia="宋体" w:cs="宋体"/>
          <w:lang w:val="en-US" w:eastAsia="zh-CN"/>
        </w:rPr>
        <w:t>防锈试验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_Toc18872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52D4B0A8">
      <w:pPr>
        <w:pStyle w:val="20"/>
        <w:tabs>
          <w:tab w:val="right" w:leader="dot" w:pos="8643"/>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_Toc31382 </w:instrText>
      </w:r>
      <w:r>
        <w:rPr>
          <w:rFonts w:hint="eastAsia" w:ascii="宋体" w:hAnsi="宋体" w:eastAsia="宋体" w:cs="宋体"/>
          <w:szCs w:val="21"/>
          <w:highlight w:val="none"/>
        </w:rPr>
        <w:fldChar w:fldCharType="separate"/>
      </w:r>
      <w:r>
        <w:rPr>
          <w:rFonts w:hint="eastAsia" w:ascii="宋体" w:hAnsi="宋体" w:eastAsia="宋体" w:cs="宋体"/>
          <w:i w:val="0"/>
          <w:lang w:val="en-US" w:eastAsia="zh-CN"/>
        </w:rPr>
        <w:t xml:space="preserve">7 </w:t>
      </w:r>
      <w:r>
        <w:rPr>
          <w:rFonts w:hint="eastAsia" w:ascii="宋体" w:hAnsi="宋体" w:eastAsia="宋体" w:cs="宋体"/>
          <w:lang w:val="en-US" w:eastAsia="zh-CN"/>
        </w:rPr>
        <w:t>检验规则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_Toc31382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2647952D">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_Toc77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7.1 </w:t>
      </w:r>
      <w:r>
        <w:rPr>
          <w:rFonts w:hint="eastAsia" w:ascii="宋体" w:hAnsi="宋体" w:eastAsia="宋体" w:cs="宋体"/>
          <w:lang w:val="en-US" w:eastAsia="zh-CN"/>
        </w:rPr>
        <w:t>检验分类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_Toc77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2E6D3E7B">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_Toc12134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7.2 </w:t>
      </w:r>
      <w:r>
        <w:rPr>
          <w:rFonts w:hint="eastAsia" w:ascii="宋体" w:hAnsi="宋体" w:eastAsia="宋体" w:cs="宋体"/>
          <w:lang w:val="en-US" w:eastAsia="zh-CN"/>
        </w:rPr>
        <w:t>出厂检验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_Toc12134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1735973A">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_Toc1486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7.3 </w:t>
      </w:r>
      <w:r>
        <w:rPr>
          <w:rFonts w:hint="eastAsia" w:ascii="宋体" w:hAnsi="宋体" w:eastAsia="宋体" w:cs="宋体"/>
          <w:lang w:val="en-US" w:eastAsia="zh-CN"/>
        </w:rPr>
        <w:t>型式检验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_Toc1486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59F5C82E">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_Toc10792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7.4 </w:t>
      </w:r>
      <w:r>
        <w:rPr>
          <w:rFonts w:hint="eastAsia" w:ascii="宋体" w:hAnsi="宋体" w:eastAsia="宋体" w:cs="宋体"/>
          <w:lang w:val="en-US" w:eastAsia="zh-CN"/>
        </w:rPr>
        <w:t>预防性试验周期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_Toc10792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7233AF54">
      <w:pPr>
        <w:pStyle w:val="20"/>
        <w:tabs>
          <w:tab w:val="right" w:leader="dot" w:pos="8643"/>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_Toc3671 </w:instrText>
      </w:r>
      <w:r>
        <w:rPr>
          <w:rFonts w:hint="eastAsia" w:ascii="宋体" w:hAnsi="宋体" w:eastAsia="宋体" w:cs="宋体"/>
          <w:szCs w:val="21"/>
          <w:highlight w:val="none"/>
        </w:rPr>
        <w:fldChar w:fldCharType="separate"/>
      </w:r>
      <w:r>
        <w:rPr>
          <w:rFonts w:hint="eastAsia" w:ascii="宋体" w:hAnsi="宋体" w:eastAsia="宋体" w:cs="宋体"/>
          <w:i w:val="0"/>
          <w:lang w:val="en-US" w:eastAsia="zh-CN"/>
        </w:rPr>
        <w:t xml:space="preserve">8 </w:t>
      </w:r>
      <w:r>
        <w:rPr>
          <w:rFonts w:hint="eastAsia" w:ascii="宋体" w:hAnsi="宋体" w:eastAsia="宋体" w:cs="宋体"/>
          <w:lang w:val="en-US" w:eastAsia="zh-CN"/>
        </w:rPr>
        <w:t>标志、包装、运输和贮存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_Toc3671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3F73D7EC">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_Toc22084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8.1 </w:t>
      </w:r>
      <w:r>
        <w:rPr>
          <w:rFonts w:hint="eastAsia" w:ascii="宋体" w:hAnsi="宋体" w:eastAsia="宋体" w:cs="宋体"/>
          <w:lang w:val="en-US" w:eastAsia="zh-CN"/>
        </w:rPr>
        <w:t>标志</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_Toc22084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7380BB6E">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_Toc10363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8.2 </w:t>
      </w:r>
      <w:r>
        <w:rPr>
          <w:rFonts w:hint="eastAsia" w:ascii="宋体" w:hAnsi="宋体" w:eastAsia="宋体" w:cs="宋体"/>
          <w:lang w:val="en-US" w:eastAsia="zh-CN"/>
        </w:rPr>
        <w:t>包装</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_Toc10363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5A85EB8B">
      <w:pPr>
        <w:pStyle w:val="26"/>
        <w:tabs>
          <w:tab w:val="right" w:leader="dot" w:pos="8643"/>
          <w:tab w:val="clear" w:pos="9344"/>
        </w:tabs>
        <w:rPr>
          <w:rFonts w:hint="eastAsia" w:ascii="宋体" w:hAnsi="宋体" w:eastAsia="宋体" w:cs="宋体"/>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_Toc23946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8.3 </w:t>
      </w:r>
      <w:r>
        <w:rPr>
          <w:rFonts w:hint="eastAsia" w:ascii="宋体" w:hAnsi="宋体" w:eastAsia="宋体" w:cs="宋体"/>
          <w:lang w:val="en-US" w:eastAsia="zh-CN"/>
        </w:rPr>
        <w:t>运输</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_Toc23946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33CAA549">
      <w:pPr>
        <w:pStyle w:val="26"/>
        <w:tabs>
          <w:tab w:val="right" w:leader="dot" w:pos="8643"/>
          <w:tab w:val="clear" w:pos="9344"/>
        </w:tabs>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_Toc32306 </w:instrText>
      </w:r>
      <w:r>
        <w:rPr>
          <w:rFonts w:hint="eastAsia" w:ascii="宋体" w:hAnsi="宋体" w:eastAsia="宋体" w:cs="宋体"/>
          <w:szCs w:val="21"/>
          <w:highlight w:val="none"/>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8.4 </w:t>
      </w:r>
      <w:r>
        <w:rPr>
          <w:rFonts w:hint="eastAsia" w:ascii="宋体" w:hAnsi="宋体" w:eastAsia="宋体" w:cs="宋体"/>
          <w:lang w:val="en-US" w:eastAsia="zh-CN"/>
        </w:rPr>
        <w:t>贮存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_Toc32306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1"/>
          <w:highlight w:val="none"/>
        </w:rPr>
        <w:fldChar w:fldCharType="end"/>
      </w:r>
    </w:p>
    <w:p w14:paraId="05A0A5F0">
      <w:pPr>
        <w:pStyle w:val="20"/>
        <w:tabs>
          <w:tab w:val="right" w:leader="dot" w:pos="9354"/>
        </w:tabs>
        <w:rPr>
          <w:rFonts w:hint="eastAsia" w:ascii="宋体" w:hAnsi="宋体" w:eastAsia="宋体" w:cs="宋体"/>
          <w:sz w:val="21"/>
          <w:szCs w:val="21"/>
        </w:rPr>
        <w:sectPr>
          <w:headerReference r:id="rId9" w:type="default"/>
          <w:footerReference r:id="rId10" w:type="default"/>
          <w:pgSz w:w="11906" w:h="16838"/>
          <w:pgMar w:top="590" w:right="1800" w:bottom="1157" w:left="1463" w:header="851" w:footer="992" w:gutter="0"/>
          <w:pgBorders>
            <w:top w:val="none" w:sz="0" w:space="0"/>
            <w:left w:val="none" w:sz="0" w:space="0"/>
            <w:bottom w:val="none" w:sz="0" w:space="0"/>
            <w:right w:val="none" w:sz="0" w:space="0"/>
          </w:pgBorders>
          <w:pgNumType w:fmt="upperRoman" w:start="2" w:chapStyle="1"/>
          <w:cols w:space="425" w:num="1"/>
          <w:titlePg/>
          <w:docGrid w:type="lines" w:linePitch="312" w:charSpace="0"/>
        </w:sectPr>
      </w:pPr>
      <w:r>
        <w:rPr>
          <w:rFonts w:hint="eastAsia" w:ascii="宋体" w:hAnsi="宋体" w:eastAsia="宋体" w:cs="宋体"/>
          <w:szCs w:val="21"/>
          <w:highlight w:val="none"/>
        </w:rPr>
        <w:fldChar w:fldCharType="end"/>
      </w:r>
      <w:bookmarkEnd w:id="0"/>
    </w:p>
    <w:p w14:paraId="007CC179">
      <w:pPr>
        <w:pStyle w:val="94"/>
        <w:keepNext w:val="0"/>
        <w:keepLines w:val="0"/>
        <w:pageBreakBefore w:val="0"/>
        <w:widowControl/>
        <w:kinsoku/>
        <w:wordWrap/>
        <w:overflowPunct/>
        <w:topLinePunct w:val="0"/>
        <w:autoSpaceDE/>
        <w:autoSpaceDN/>
        <w:bidi w:val="0"/>
        <w:adjustRightInd/>
        <w:snapToGrid/>
        <w:spacing w:before="850" w:after="680" w:afterLines="0"/>
        <w:ind w:left="425" w:hanging="425"/>
        <w:textAlignment w:val="auto"/>
      </w:pPr>
      <w:bookmarkStart w:id="1" w:name="_Toc2185"/>
      <w:bookmarkStart w:id="2" w:name="_Toc22970"/>
      <w:bookmarkStart w:id="3" w:name="_Toc3964"/>
      <w:bookmarkStart w:id="4" w:name="_Toc3290"/>
      <w:bookmarkStart w:id="5" w:name="_Toc14855"/>
      <w:bookmarkStart w:id="6" w:name="_Toc5733"/>
      <w:bookmarkStart w:id="7" w:name="_Toc18207"/>
      <w:r>
        <w:rPr>
          <w:rFonts w:hint="eastAsia"/>
          <w:lang w:eastAsia="zh-CN"/>
        </w:rPr>
        <w:t>前</w:t>
      </w:r>
      <w:r>
        <w:t>言</w:t>
      </w:r>
      <w:bookmarkEnd w:id="1"/>
      <w:bookmarkEnd w:id="2"/>
      <w:bookmarkEnd w:id="3"/>
      <w:bookmarkEnd w:id="4"/>
      <w:bookmarkEnd w:id="5"/>
      <w:bookmarkEnd w:id="6"/>
      <w:bookmarkEnd w:id="7"/>
    </w:p>
    <w:p w14:paraId="5BFAA5FE">
      <w:pPr>
        <w:pStyle w:val="61"/>
        <w:ind w:firstLine="420"/>
        <w:rPr>
          <w:rFonts w:hint="eastAsia"/>
        </w:rPr>
      </w:pPr>
      <w:r>
        <w:rPr>
          <w:rFonts w:hint="eastAsia"/>
        </w:rPr>
        <w:t>本文件按照GB/T 1.1—2020《标准化工作导则</w:t>
      </w:r>
      <w:r>
        <w:rPr>
          <w:rFonts w:hint="eastAsia"/>
          <w:lang w:val="en-US" w:eastAsia="zh-CN"/>
        </w:rPr>
        <w:t xml:space="preserve"> </w:t>
      </w:r>
      <w:r>
        <w:rPr>
          <w:rFonts w:hint="eastAsia"/>
        </w:rPr>
        <w:t xml:space="preserve"> 第1部分：标准化文件的结构和起草规则》的规定起草。</w:t>
      </w:r>
    </w:p>
    <w:p w14:paraId="6102A09B">
      <w:pPr>
        <w:pStyle w:val="61"/>
        <w:ind w:firstLine="420"/>
        <w:rPr>
          <w:rFonts w:hint="eastAsia"/>
        </w:rPr>
      </w:pPr>
      <w:r>
        <w:rPr>
          <w:rFonts w:hint="eastAsia"/>
        </w:rPr>
        <w:t>请注意本文件的某些内容可能涉及专利。本文件的发布机构不承担识别专利的责任。</w:t>
      </w:r>
    </w:p>
    <w:p w14:paraId="54334D74">
      <w:pPr>
        <w:pStyle w:val="61"/>
        <w:ind w:firstLine="420"/>
        <w:rPr>
          <w:rFonts w:hint="eastAsia"/>
        </w:rPr>
      </w:pPr>
      <w:r>
        <w:rPr>
          <w:rFonts w:hint="eastAsia"/>
        </w:rPr>
        <w:t>本文件由</w:t>
      </w:r>
      <w:r>
        <w:rPr>
          <w:rFonts w:hint="eastAsia"/>
          <w:lang w:eastAsia="zh-CN"/>
        </w:rPr>
        <w:t>中国西部开发促进会</w:t>
      </w:r>
      <w:r>
        <w:rPr>
          <w:rFonts w:hint="eastAsia"/>
        </w:rPr>
        <w:t>提出</w:t>
      </w:r>
      <w:r>
        <w:rPr>
          <w:rFonts w:hint="eastAsia"/>
          <w:lang w:val="en-US" w:eastAsia="zh-CN"/>
        </w:rPr>
        <w:t>并</w:t>
      </w:r>
      <w:r>
        <w:rPr>
          <w:rFonts w:hint="eastAsia"/>
        </w:rPr>
        <w:t>归口。</w:t>
      </w:r>
    </w:p>
    <w:p w14:paraId="38B0E61C">
      <w:pPr>
        <w:pStyle w:val="61"/>
        <w:ind w:firstLine="420"/>
        <w:rPr>
          <w:rFonts w:hint="eastAsia"/>
          <w:lang w:eastAsia="zh-CN"/>
        </w:rPr>
      </w:pPr>
      <w:r>
        <w:rPr>
          <w:rFonts w:hint="eastAsia"/>
          <w:lang w:eastAsia="zh-CN"/>
        </w:rPr>
        <w:t>本文件起草单位：。</w:t>
      </w:r>
    </w:p>
    <w:p w14:paraId="493490CB">
      <w:pPr>
        <w:pStyle w:val="61"/>
        <w:ind w:firstLine="420"/>
        <w:rPr>
          <w:rFonts w:hint="eastAsia" w:eastAsia="宋体"/>
          <w:lang w:val="en-US" w:eastAsia="zh-CN"/>
        </w:rPr>
      </w:pPr>
      <w:r>
        <w:rPr>
          <w:rFonts w:hint="eastAsia"/>
        </w:rPr>
        <w:t>本文件</w:t>
      </w:r>
      <w:r>
        <w:rPr>
          <w:rFonts w:hint="eastAsia"/>
          <w:lang w:val="en-US" w:eastAsia="zh-CN"/>
        </w:rPr>
        <w:t>主要</w:t>
      </w:r>
      <w:r>
        <w:rPr>
          <w:rFonts w:hint="eastAsia"/>
        </w:rPr>
        <w:t>起草人：</w:t>
      </w:r>
      <w:r>
        <w:rPr>
          <w:rFonts w:hint="eastAsia"/>
          <w:lang w:eastAsia="zh-CN"/>
        </w:rPr>
        <w:t>。</w:t>
      </w:r>
    </w:p>
    <w:p w14:paraId="35EFC096">
      <w:pPr>
        <w:pStyle w:val="61"/>
        <w:rPr>
          <w:rFonts w:hint="default" w:eastAsia="宋体"/>
          <w:lang w:val="en-US" w:eastAsia="zh-CN"/>
        </w:rPr>
      </w:pPr>
      <w:r>
        <w:rPr>
          <w:rFonts w:hint="eastAsia"/>
        </w:rPr>
        <w:t>本文件</w:t>
      </w:r>
      <w:r>
        <w:rPr>
          <w:rFonts w:hint="eastAsia"/>
          <w:lang w:val="en-US" w:eastAsia="zh-CN"/>
        </w:rPr>
        <w:t>为首次发布。</w:t>
      </w:r>
    </w:p>
    <w:p w14:paraId="55A8E81B">
      <w:pPr>
        <w:spacing w:line="360" w:lineRule="auto"/>
        <w:jc w:val="both"/>
        <w:rPr>
          <w:rFonts w:hint="eastAsia" w:ascii="黑体" w:hAnsi="黑体" w:eastAsia="黑体" w:cs="黑体"/>
          <w:sz w:val="52"/>
          <w:szCs w:val="52"/>
        </w:rPr>
        <w:sectPr>
          <w:pgSz w:w="11906" w:h="16838"/>
          <w:pgMar w:top="590" w:right="1800" w:bottom="1157" w:left="1463" w:header="851" w:footer="992" w:gutter="0"/>
          <w:pgBorders>
            <w:top w:val="none" w:sz="0" w:space="0"/>
            <w:left w:val="none" w:sz="0" w:space="0"/>
            <w:bottom w:val="none" w:sz="0" w:space="0"/>
            <w:right w:val="none" w:sz="0" w:space="0"/>
          </w:pgBorders>
          <w:pgNumType w:fmt="upperRoman" w:start="2" w:chapStyle="1"/>
          <w:cols w:space="425" w:num="1"/>
          <w:titlePg/>
          <w:docGrid w:type="lines" w:linePitch="312" w:charSpace="0"/>
        </w:sectPr>
      </w:pPr>
    </w:p>
    <w:p w14:paraId="27EED881">
      <w:pPr>
        <w:spacing w:line="20" w:lineRule="exact"/>
        <w:jc w:val="center"/>
        <w:rPr>
          <w:rFonts w:ascii="黑体" w:hAnsi="黑体" w:eastAsia="黑体"/>
          <w:sz w:val="32"/>
          <w:szCs w:val="32"/>
        </w:rPr>
      </w:pPr>
      <w:bookmarkStart w:id="8" w:name="BookMark4"/>
    </w:p>
    <w:p w14:paraId="10F49A4E">
      <w:pPr>
        <w:spacing w:line="20" w:lineRule="exact"/>
        <w:jc w:val="center"/>
        <w:rPr>
          <w:rFonts w:ascii="黑体" w:hAnsi="黑体" w:eastAsia="黑体"/>
          <w:sz w:val="32"/>
          <w:szCs w:val="32"/>
        </w:rPr>
      </w:pPr>
    </w:p>
    <w:p w14:paraId="12D05E78">
      <w:pPr>
        <w:pStyle w:val="182"/>
      </w:pPr>
      <w:sdt>
        <w:sdtPr>
          <w:rPr>
            <w:rFonts w:hint="eastAsia" w:ascii="黑体" w:hAnsi="黑体" w:eastAsia="黑体" w:cs="黑体"/>
            <w:kern w:val="0"/>
            <w:sz w:val="32"/>
            <w:szCs w:val="32"/>
            <w:highlight w:val="none"/>
            <w:lang w:val="en-US" w:eastAsia="zh-CN" w:bidi="ar-SA"/>
          </w:rPr>
          <w:tag w:val="mainTextTitle"/>
          <w:id w:val="147453193"/>
          <w:placeholder>
            <w:docPart w:val="{ee073880-b451-4ff0-9253-5135824a1eff}"/>
          </w:placeholder>
        </w:sdtPr>
        <w:sdtEndPr>
          <w:rPr>
            <w:rFonts w:hint="eastAsia" w:ascii="黑体" w:hAnsi="宋体" w:eastAsia="黑体" w:cs="Times New Roman"/>
            <w:kern w:val="0"/>
            <w:sz w:val="32"/>
            <w:szCs w:val="20"/>
            <w:highlight w:val="none"/>
            <w:lang w:val="en-US" w:eastAsia="zh-CN" w:bidi="ar"/>
          </w:rPr>
        </w:sdtEndPr>
        <w:sdtContent>
          <w:bookmarkStart w:id="9" w:name="NEW_STAND_NAME"/>
          <w:r>
            <w:rPr>
              <w:rFonts w:hint="eastAsia" w:cs="黑体"/>
              <w:b w:val="0"/>
              <w:bCs w:val="0"/>
              <w:caps w:val="0"/>
              <w:color w:val="0F1115"/>
              <w:spacing w:val="0"/>
              <w:sz w:val="32"/>
              <w:szCs w:val="32"/>
              <w:shd w:val="clear" w:fill="FFFFFF"/>
              <w:lang w:eastAsia="zh-CN"/>
            </w:rPr>
            <w:t>电力绝缘梯</w:t>
          </w:r>
        </w:sdtContent>
      </w:sdt>
      <w:bookmarkEnd w:id="9"/>
    </w:p>
    <w:p w14:paraId="5EC4DF4C">
      <w:pPr>
        <w:pStyle w:val="109"/>
        <w:spacing w:before="240" w:after="240"/>
      </w:pPr>
      <w:bookmarkStart w:id="10" w:name="_Toc26648465"/>
      <w:bookmarkStart w:id="11" w:name="_Toc17233333"/>
      <w:bookmarkStart w:id="12" w:name="_Toc24884211"/>
      <w:bookmarkStart w:id="13" w:name="_Toc17233325"/>
      <w:bookmarkStart w:id="14" w:name="_Toc15925"/>
      <w:bookmarkStart w:id="15" w:name="_Toc29473"/>
      <w:bookmarkStart w:id="16" w:name="_Toc24884218"/>
      <w:bookmarkStart w:id="17" w:name="_Toc12617"/>
      <w:bookmarkStart w:id="18" w:name="_Toc26718930"/>
      <w:bookmarkStart w:id="19" w:name="_Toc26986771"/>
      <w:bookmarkStart w:id="20" w:name="_Toc26986530"/>
      <w:bookmarkStart w:id="21" w:name="_Toc19578"/>
      <w:bookmarkStart w:id="22" w:name="_Toc97195091"/>
      <w:bookmarkStart w:id="23" w:name="_Toc12505"/>
      <w:r>
        <w:rPr>
          <w:rFonts w:hint="eastAsia"/>
        </w:rPr>
        <w:t>范围</w:t>
      </w:r>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6BEE494D">
      <w:pPr>
        <w:pStyle w:val="61"/>
        <w:rPr>
          <w:rFonts w:hint="eastAsia" w:ascii="宋体" w:hAnsi="宋体" w:eastAsia="宋体" w:cs="宋体"/>
        </w:rPr>
      </w:pPr>
      <w:bookmarkStart w:id="24" w:name="_Toc17233326"/>
      <w:bookmarkStart w:id="25" w:name="_Toc24884212"/>
      <w:bookmarkStart w:id="26" w:name="_Toc26648466"/>
      <w:bookmarkStart w:id="27" w:name="_Toc17233334"/>
      <w:bookmarkStart w:id="28" w:name="_Toc24884219"/>
      <w:r>
        <w:rPr>
          <w:rFonts w:hint="eastAsia" w:ascii="宋体" w:hAnsi="宋体" w:eastAsia="宋体" w:cs="宋体"/>
        </w:rPr>
        <w:t>本文件规定了电力绝缘梯的分类与</w:t>
      </w:r>
      <w:r>
        <w:rPr>
          <w:rFonts w:hint="eastAsia" w:hAnsi="宋体" w:cs="宋体"/>
          <w:lang w:eastAsia="zh-CN"/>
        </w:rPr>
        <w:t>命名</w:t>
      </w:r>
      <w:r>
        <w:rPr>
          <w:rFonts w:hint="eastAsia" w:ascii="宋体" w:hAnsi="宋体" w:eastAsia="宋体" w:cs="宋体"/>
        </w:rPr>
        <w:t>、技术要求、试验方法、检验规则、标志、包装、运输和贮存。</w:t>
      </w:r>
    </w:p>
    <w:p w14:paraId="3854AD99">
      <w:pPr>
        <w:pStyle w:val="61"/>
        <w:rPr>
          <w:rFonts w:hint="eastAsia" w:ascii="宋体" w:hAnsi="宋体" w:eastAsia="宋体" w:cs="宋体"/>
          <w:lang w:eastAsia="zh-CN"/>
        </w:rPr>
      </w:pPr>
      <w:r>
        <w:rPr>
          <w:rFonts w:hint="eastAsia" w:ascii="宋体" w:hAnsi="宋体" w:eastAsia="宋体" w:cs="宋体"/>
        </w:rPr>
        <w:t>本文件适用于10 kV至500 kV电压等级带电作业及停电检修作业中使用的电力绝缘梯</w:t>
      </w:r>
      <w:r>
        <w:rPr>
          <w:rFonts w:hint="eastAsia" w:ascii="宋体" w:hAnsi="宋体" w:eastAsia="宋体" w:cs="宋体"/>
          <w:i w:val="0"/>
          <w:iCs w:val="0"/>
          <w:caps w:val="0"/>
          <w:spacing w:val="0"/>
          <w:sz w:val="21"/>
          <w:szCs w:val="20"/>
          <w:shd w:val="clear"/>
        </w:rPr>
        <w:t>。</w:t>
      </w:r>
    </w:p>
    <w:p w14:paraId="6E83A890">
      <w:pPr>
        <w:pStyle w:val="109"/>
        <w:spacing w:before="240" w:after="240"/>
        <w:rPr>
          <w:highlight w:val="none"/>
        </w:rPr>
      </w:pPr>
      <w:bookmarkStart w:id="29" w:name="_Toc21263"/>
      <w:bookmarkStart w:id="30" w:name="_Toc26986531"/>
      <w:bookmarkStart w:id="31" w:name="_Toc26986772"/>
      <w:bookmarkStart w:id="32" w:name="_Toc8381"/>
      <w:bookmarkStart w:id="33" w:name="_Toc26718931"/>
      <w:bookmarkStart w:id="34" w:name="_Toc13814"/>
      <w:bookmarkStart w:id="35" w:name="_Toc16591"/>
      <w:bookmarkStart w:id="36" w:name="_Toc7490"/>
      <w:bookmarkStart w:id="37" w:name="_Toc97195092"/>
      <w:r>
        <w:rPr>
          <w:rFonts w:hint="eastAsia"/>
          <w:highlight w:val="none"/>
        </w:rPr>
        <w:t>规范性引用文件</w:t>
      </w:r>
      <w:bookmarkEnd w:id="24"/>
      <w:bookmarkEnd w:id="25"/>
      <w:bookmarkEnd w:id="26"/>
      <w:bookmarkEnd w:id="27"/>
      <w:bookmarkEnd w:id="28"/>
      <w:bookmarkEnd w:id="29"/>
      <w:bookmarkEnd w:id="30"/>
      <w:bookmarkEnd w:id="31"/>
      <w:bookmarkEnd w:id="32"/>
      <w:bookmarkEnd w:id="33"/>
      <w:bookmarkEnd w:id="34"/>
      <w:bookmarkEnd w:id="35"/>
      <w:bookmarkEnd w:id="36"/>
      <w:bookmarkEnd w:id="37"/>
    </w:p>
    <w:sdt>
      <w:sdtPr>
        <w:rPr>
          <w:rFonts w:hint="eastAsia" w:ascii="宋体" w:hAnsi="宋体" w:eastAsia="宋体" w:cs="宋体"/>
        </w:rPr>
        <w:id w:val="147479123"/>
        <w:placeholder>
          <w:docPart w:val="{7be65522-be42-417e-a61a-794d4bc9e243}"/>
        </w:placeholder>
        <w:comboBox>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comboBox>
      </w:sdtPr>
      <w:sdtEndPr>
        <w:rPr>
          <w:rFonts w:hint="eastAsia" w:ascii="宋体" w:hAnsi="宋体" w:eastAsia="宋体" w:cs="宋体"/>
        </w:rPr>
      </w:sdtEndPr>
      <w:sdtContent>
        <w:p w14:paraId="4BE68B35">
          <w:pPr>
            <w:pStyle w:val="61"/>
            <w:rPr>
              <w:rFonts w:hint="eastAsia" w:ascii="宋体" w:hAnsi="宋体" w:eastAsia="宋体" w:cs="宋体"/>
            </w:rPr>
          </w:pPr>
          <w:r>
            <w:rPr>
              <w:rFonts w:hint="eastAsia" w:ascii="宋体" w:hAnsi="宋体" w:eastAsia="宋体" w:cs="宋体"/>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7D60888A">
      <w:pPr>
        <w:pStyle w:val="61"/>
        <w:bidi w:val="0"/>
        <w:rPr>
          <w:rFonts w:hint="eastAsia"/>
          <w:highlight w:val="none"/>
        </w:rPr>
      </w:pPr>
      <w:r>
        <w:rPr>
          <w:rFonts w:hint="eastAsia"/>
          <w:highlight w:val="none"/>
        </w:rPr>
        <w:t>GB/T 2423.1</w:t>
      </w:r>
      <w:r>
        <w:rPr>
          <w:rFonts w:hint="eastAsia"/>
          <w:highlight w:val="none"/>
          <w:lang w:val="en-US" w:eastAsia="zh-CN"/>
        </w:rPr>
        <w:t xml:space="preserve"> </w:t>
      </w:r>
      <w:r>
        <w:rPr>
          <w:rFonts w:hint="eastAsia"/>
          <w:highlight w:val="none"/>
        </w:rPr>
        <w:t>电工电子产品环境试验 第2部分：试验方法 试验A：低温</w:t>
      </w:r>
    </w:p>
    <w:p w14:paraId="7F4FCE33">
      <w:pPr>
        <w:pStyle w:val="61"/>
        <w:bidi w:val="0"/>
        <w:rPr>
          <w:rFonts w:hint="eastAsia"/>
          <w:highlight w:val="none"/>
        </w:rPr>
      </w:pPr>
      <w:r>
        <w:rPr>
          <w:rFonts w:hint="eastAsia"/>
          <w:highlight w:val="none"/>
        </w:rPr>
        <w:t>GB/T 2423.2</w:t>
      </w:r>
      <w:r>
        <w:rPr>
          <w:rFonts w:hint="eastAsia"/>
          <w:highlight w:val="none"/>
          <w:lang w:val="en-US" w:eastAsia="zh-CN"/>
        </w:rPr>
        <w:t xml:space="preserve"> </w:t>
      </w:r>
      <w:r>
        <w:rPr>
          <w:rFonts w:hint="eastAsia"/>
          <w:highlight w:val="none"/>
        </w:rPr>
        <w:t>电工电子产品环境试验 第2部分：试验方法 试验B：高温</w:t>
      </w:r>
    </w:p>
    <w:p w14:paraId="3F28081B">
      <w:pPr>
        <w:pStyle w:val="61"/>
        <w:bidi w:val="0"/>
        <w:rPr>
          <w:rFonts w:hint="eastAsia"/>
          <w:highlight w:val="none"/>
        </w:rPr>
      </w:pPr>
      <w:r>
        <w:rPr>
          <w:rFonts w:hint="eastAsia"/>
          <w:highlight w:val="none"/>
        </w:rPr>
        <w:t>GB/T 10125</w:t>
      </w:r>
      <w:r>
        <w:rPr>
          <w:rFonts w:hint="eastAsia"/>
          <w:highlight w:val="none"/>
          <w:lang w:val="en-US" w:eastAsia="zh-CN"/>
        </w:rPr>
        <w:t xml:space="preserve"> </w:t>
      </w:r>
      <w:r>
        <w:rPr>
          <w:rFonts w:hint="eastAsia"/>
          <w:highlight w:val="none"/>
        </w:rPr>
        <w:t>人造气氛腐蚀试验 盐雾试验</w:t>
      </w:r>
    </w:p>
    <w:p w14:paraId="1F3FC799">
      <w:pPr>
        <w:pStyle w:val="61"/>
        <w:bidi w:val="0"/>
        <w:rPr>
          <w:rFonts w:hint="eastAsia"/>
          <w:highlight w:val="none"/>
        </w:rPr>
      </w:pPr>
      <w:r>
        <w:rPr>
          <w:rFonts w:hint="eastAsia"/>
          <w:highlight w:val="none"/>
        </w:rPr>
        <w:t>GB/T 13035 带电作业用绝缘绳索</w:t>
      </w:r>
    </w:p>
    <w:p w14:paraId="2F283ED3">
      <w:pPr>
        <w:pStyle w:val="61"/>
        <w:bidi w:val="0"/>
        <w:rPr>
          <w:rFonts w:hint="eastAsia"/>
          <w:highlight w:val="none"/>
        </w:rPr>
      </w:pPr>
      <w:r>
        <w:rPr>
          <w:rFonts w:hint="eastAsia"/>
          <w:highlight w:val="none"/>
        </w:rPr>
        <w:t>GB 13398 带电作业用空心绝缘管、泡沫填充绝缘管和实心绝缘棒</w:t>
      </w:r>
    </w:p>
    <w:p w14:paraId="109EA9FB">
      <w:pPr>
        <w:pStyle w:val="61"/>
        <w:bidi w:val="0"/>
        <w:rPr>
          <w:rFonts w:hint="eastAsia"/>
          <w:highlight w:val="none"/>
        </w:rPr>
      </w:pPr>
      <w:r>
        <w:rPr>
          <w:rFonts w:hint="eastAsia"/>
          <w:highlight w:val="none"/>
        </w:rPr>
        <w:t>GB/T 14286 带电作业工具设备术语</w:t>
      </w:r>
    </w:p>
    <w:p w14:paraId="6300BB35">
      <w:pPr>
        <w:pStyle w:val="61"/>
        <w:bidi w:val="0"/>
        <w:rPr>
          <w:rFonts w:hint="eastAsia"/>
          <w:highlight w:val="none"/>
        </w:rPr>
      </w:pPr>
      <w:r>
        <w:rPr>
          <w:rFonts w:hint="eastAsia"/>
          <w:highlight w:val="none"/>
        </w:rPr>
        <w:t>GB/T 17620 带电作业用绝缘硬梯</w:t>
      </w:r>
    </w:p>
    <w:p w14:paraId="774019BC">
      <w:pPr>
        <w:pStyle w:val="61"/>
        <w:bidi w:val="0"/>
        <w:rPr>
          <w:rFonts w:hint="eastAsia"/>
          <w:highlight w:val="none"/>
        </w:rPr>
      </w:pPr>
      <w:r>
        <w:rPr>
          <w:rFonts w:hint="eastAsia"/>
          <w:highlight w:val="none"/>
        </w:rPr>
        <w:t>GB/T 17889.2 梯子 第2部分：要求、试验和标志</w:t>
      </w:r>
    </w:p>
    <w:p w14:paraId="4E043601">
      <w:pPr>
        <w:pStyle w:val="61"/>
        <w:bidi w:val="0"/>
        <w:rPr>
          <w:rFonts w:hint="eastAsia"/>
          <w:highlight w:val="none"/>
        </w:rPr>
      </w:pPr>
      <w:r>
        <w:rPr>
          <w:rFonts w:hint="eastAsia"/>
          <w:highlight w:val="none"/>
        </w:rPr>
        <w:t>GB/T 24344</w:t>
      </w:r>
      <w:r>
        <w:rPr>
          <w:rFonts w:hint="eastAsia"/>
          <w:highlight w:val="none"/>
          <w:lang w:val="en-US" w:eastAsia="zh-CN"/>
        </w:rPr>
        <w:t xml:space="preserve"> </w:t>
      </w:r>
      <w:r>
        <w:rPr>
          <w:rFonts w:hint="eastAsia"/>
          <w:highlight w:val="none"/>
        </w:rPr>
        <w:t>工业机械电气设备 耐压试验规范</w:t>
      </w:r>
    </w:p>
    <w:p w14:paraId="327AAD39">
      <w:pPr>
        <w:pStyle w:val="61"/>
        <w:bidi w:val="0"/>
        <w:rPr>
          <w:rFonts w:hint="eastAsia"/>
          <w:highlight w:val="none"/>
        </w:rPr>
      </w:pPr>
      <w:r>
        <w:rPr>
          <w:rFonts w:hint="eastAsia"/>
          <w:highlight w:val="none"/>
        </w:rPr>
        <w:t>DL/T 976 带电作业工具、装置和设备预防性试验规程</w:t>
      </w:r>
    </w:p>
    <w:p w14:paraId="6A8C223F">
      <w:pPr>
        <w:pStyle w:val="61"/>
        <w:bidi w:val="0"/>
        <w:rPr>
          <w:rFonts w:hint="eastAsia"/>
          <w:highlight w:val="none"/>
        </w:rPr>
      </w:pPr>
      <w:r>
        <w:rPr>
          <w:rFonts w:hint="eastAsia"/>
          <w:highlight w:val="none"/>
        </w:rPr>
        <w:t>DL/T 1209.1</w:t>
      </w:r>
      <w:r>
        <w:rPr>
          <w:rFonts w:hint="eastAsia"/>
          <w:highlight w:val="none"/>
          <w:lang w:val="en-US" w:eastAsia="zh-CN"/>
        </w:rPr>
        <w:t xml:space="preserve"> </w:t>
      </w:r>
      <w:r>
        <w:rPr>
          <w:rFonts w:hint="eastAsia"/>
          <w:highlight w:val="none"/>
        </w:rPr>
        <w:t>电力安全工器具预防性试验规程 第1部分：绝缘梯</w:t>
      </w:r>
    </w:p>
    <w:p w14:paraId="7E0F02AA">
      <w:pPr>
        <w:pStyle w:val="109"/>
        <w:spacing w:before="240" w:after="240"/>
      </w:pPr>
      <w:bookmarkStart w:id="38" w:name="_Toc4199"/>
      <w:bookmarkStart w:id="39" w:name="_Toc11143"/>
      <w:bookmarkStart w:id="40" w:name="_Toc21736"/>
      <w:bookmarkStart w:id="41" w:name="_Toc26000"/>
      <w:bookmarkStart w:id="42" w:name="_Toc97195093"/>
      <w:bookmarkStart w:id="43" w:name="_Toc20111"/>
      <w:r>
        <w:rPr>
          <w:rFonts w:hint="eastAsia"/>
          <w:szCs w:val="21"/>
        </w:rPr>
        <w:t>术语和定义</w:t>
      </w:r>
      <w:bookmarkEnd w:id="38"/>
      <w:bookmarkEnd w:id="39"/>
      <w:bookmarkEnd w:id="40"/>
      <w:bookmarkEnd w:id="41"/>
      <w:bookmarkEnd w:id="42"/>
      <w:bookmarkEnd w:id="43"/>
    </w:p>
    <w:bookmarkEnd w:id="8"/>
    <w:p w14:paraId="3A3BF7ED">
      <w:pPr>
        <w:pStyle w:val="61"/>
      </w:pPr>
      <w:bookmarkStart w:id="44" w:name="_Toc26986532"/>
      <w:bookmarkEnd w:id="44"/>
      <w:sdt>
        <w:sdtPr>
          <w:rPr>
            <w:rFonts w:hint="eastAsia" w:ascii="宋体" w:hAnsi="宋体" w:eastAsia="宋体" w:cs="宋体"/>
            <w:color w:val="auto"/>
            <w:kern w:val="2"/>
            <w:sz w:val="21"/>
            <w:szCs w:val="21"/>
            <w:highlight w:val="none"/>
            <w:lang w:val="en-US" w:eastAsia="zh-CN" w:bidi="ar-SA"/>
          </w:rPr>
          <w:id w:val="-1909835108"/>
          <w:placeholder>
            <w:docPart w:val="8B8623DBB2C24B3899CB0B000E5C5DB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ascii="宋体" w:hAnsi="Times New Roman" w:eastAsia="宋体" w:cs="Times New Roman"/>
            <w:color w:val="auto"/>
            <w:kern w:val="2"/>
            <w:sz w:val="21"/>
            <w:szCs w:val="21"/>
            <w:highlight w:val="yellow"/>
            <w:lang w:val="en-US" w:eastAsia="zh-CN" w:bidi="ar-SA"/>
          </w:rPr>
        </w:sdtEndPr>
        <w:sdtContent>
          <w:r>
            <w:rPr>
              <w:rFonts w:hint="eastAsia" w:ascii="宋体" w:hAnsi="宋体" w:eastAsia="宋体" w:cs="宋体"/>
              <w:color w:val="auto"/>
              <w:kern w:val="2"/>
              <w:sz w:val="21"/>
              <w:szCs w:val="21"/>
              <w:highlight w:val="none"/>
              <w:lang w:val="en-US" w:eastAsia="zh-CN" w:bidi="ar-SA"/>
            </w:rPr>
            <w:t>GB/T 14286界定的以及</w:t>
          </w:r>
          <w:r>
            <w:rPr>
              <w:rFonts w:hint="eastAsia" w:ascii="宋体" w:hAnsi="宋体" w:eastAsia="宋体" w:cs="宋体"/>
              <w:kern w:val="2"/>
              <w:sz w:val="21"/>
              <w:szCs w:val="21"/>
              <w:lang w:val="en-US" w:eastAsia="zh-CN" w:bidi="ar-SA"/>
            </w:rPr>
            <w:t>下列术语和定义适用于本文件。</w:t>
          </w:r>
        </w:sdtContent>
      </w:sdt>
    </w:p>
    <w:p w14:paraId="13F2079D">
      <w:pPr>
        <w:pStyle w:val="110"/>
        <w:bidi w:val="0"/>
        <w:rPr>
          <w:rFonts w:hint="eastAsia"/>
          <w:lang w:val="en-US" w:eastAsia="zh-CN"/>
        </w:rPr>
      </w:pPr>
      <w:bookmarkStart w:id="45" w:name="_Toc8825"/>
      <w:bookmarkEnd w:id="45"/>
      <w:bookmarkStart w:id="46" w:name="_Toc28395"/>
      <w:bookmarkEnd w:id="46"/>
      <w:bookmarkStart w:id="47" w:name="_Toc21463"/>
      <w:bookmarkEnd w:id="47"/>
      <w:bookmarkStart w:id="48" w:name="_Toc14598"/>
      <w:bookmarkEnd w:id="48"/>
      <w:bookmarkStart w:id="49" w:name="_Toc21124"/>
      <w:bookmarkEnd w:id="49"/>
      <w:bookmarkStart w:id="50" w:name="_Toc31639"/>
      <w:bookmarkEnd w:id="50"/>
      <w:bookmarkStart w:id="51" w:name="_Toc11047"/>
      <w:bookmarkEnd w:id="51"/>
      <w:bookmarkStart w:id="52" w:name="_Toc10799"/>
      <w:bookmarkEnd w:id="52"/>
      <w:bookmarkStart w:id="53" w:name="_Toc13767"/>
      <w:bookmarkEnd w:id="53"/>
      <w:bookmarkStart w:id="54" w:name="_Toc25027"/>
      <w:bookmarkEnd w:id="54"/>
      <w:bookmarkStart w:id="55" w:name="_Toc18471"/>
      <w:bookmarkEnd w:id="55"/>
      <w:bookmarkStart w:id="56" w:name="_Toc9949"/>
      <w:bookmarkEnd w:id="56"/>
      <w:bookmarkStart w:id="57" w:name="_Toc13410"/>
      <w:bookmarkEnd w:id="57"/>
      <w:bookmarkStart w:id="58" w:name="_Toc9756"/>
      <w:bookmarkEnd w:id="58"/>
      <w:bookmarkStart w:id="59" w:name="_Toc18481"/>
      <w:bookmarkEnd w:id="59"/>
      <w:bookmarkStart w:id="60" w:name="_Toc21959"/>
      <w:bookmarkEnd w:id="60"/>
      <w:bookmarkStart w:id="61" w:name="_Toc27659"/>
      <w:bookmarkEnd w:id="61"/>
      <w:bookmarkStart w:id="62" w:name="_Toc28129"/>
      <w:bookmarkEnd w:id="62"/>
      <w:bookmarkStart w:id="63" w:name="_Toc20753"/>
      <w:bookmarkEnd w:id="63"/>
      <w:bookmarkStart w:id="64" w:name="_Toc1908"/>
      <w:bookmarkEnd w:id="64"/>
      <w:bookmarkStart w:id="65" w:name="_Toc14490"/>
      <w:bookmarkEnd w:id="65"/>
      <w:bookmarkStart w:id="66" w:name="_Toc16102"/>
      <w:bookmarkEnd w:id="66"/>
      <w:bookmarkStart w:id="67" w:name="_Toc5316"/>
      <w:bookmarkEnd w:id="67"/>
      <w:bookmarkStart w:id="68" w:name="_Toc16023"/>
    </w:p>
    <w:p w14:paraId="6B0F2C7B">
      <w:pPr>
        <w:pStyle w:val="110"/>
        <w:numPr>
          <w:ilvl w:val="2"/>
          <w:numId w:val="0"/>
        </w:numPr>
        <w:bidi w:val="0"/>
        <w:ind w:leftChars="0" w:firstLine="420" w:firstLineChars="200"/>
        <w:rPr>
          <w:rFonts w:hint="eastAsia"/>
          <w:lang w:val="en-US" w:eastAsia="zh-CN"/>
        </w:rPr>
      </w:pPr>
      <w:bookmarkStart w:id="69" w:name="_Toc16627"/>
      <w:r>
        <w:rPr>
          <w:rFonts w:hint="eastAsia"/>
          <w:lang w:val="en-US" w:eastAsia="zh-CN"/>
        </w:rPr>
        <w:t xml:space="preserve">电力绝缘梯 </w:t>
      </w:r>
      <w:r>
        <w:rPr>
          <w:rFonts w:hint="default" w:ascii="Times New Roman" w:hAnsi="Times New Roman" w:cs="Times New Roman"/>
          <w:lang w:val="en-US" w:eastAsia="zh-CN"/>
        </w:rPr>
        <w:t>power insulating ladder</w:t>
      </w:r>
      <w:bookmarkEnd w:id="68"/>
      <w:bookmarkEnd w:id="69"/>
    </w:p>
    <w:p w14:paraId="76E00D89">
      <w:pPr>
        <w:pStyle w:val="61"/>
        <w:ind w:firstLine="200"/>
        <w:rPr>
          <w:rFonts w:hint="eastAsia" w:ascii="宋体" w:hAnsi="Times New Roman" w:eastAsia="宋体" w:cs="Times New Roman"/>
          <w:lang w:val="en-US" w:eastAsia="zh-CN"/>
        </w:rPr>
      </w:pPr>
      <w:r>
        <w:rPr>
          <w:rFonts w:hint="eastAsia" w:ascii="宋体" w:hAnsi="Times New Roman" w:eastAsia="宋体" w:cs="Times New Roman"/>
          <w:lang w:val="en-US" w:eastAsia="zh-CN"/>
        </w:rPr>
        <w:t>由绝缘材料（主要为玻璃纤维增强型环氧树脂管/棒或绝缘泡沫填充管）制成，用于电力带电作业或检修作业中，供作业人员攀爬、就位或临时承载的梯具</w:t>
      </w:r>
      <w:r>
        <w:rPr>
          <w:rFonts w:hint="eastAsia" w:cs="Times New Roman"/>
          <w:lang w:val="en-US" w:eastAsia="zh-CN"/>
        </w:rPr>
        <w:t>。</w:t>
      </w:r>
      <w:r>
        <w:rPr>
          <w:rFonts w:hint="eastAsia" w:ascii="宋体" w:hAnsi="Times New Roman" w:eastAsia="宋体" w:cs="Times New Roman"/>
          <w:lang w:val="en-US" w:eastAsia="zh-CN"/>
        </w:rPr>
        <w:t>主要包括绝缘人字梯、绝缘直梯、绝缘升降梯、绝缘关节梯等类型。</w:t>
      </w:r>
    </w:p>
    <w:p w14:paraId="05D47EE0">
      <w:pPr>
        <w:pStyle w:val="110"/>
        <w:bidi w:val="0"/>
        <w:rPr>
          <w:rFonts w:hint="eastAsia"/>
          <w:lang w:val="en-US" w:eastAsia="zh-CN"/>
        </w:rPr>
      </w:pPr>
      <w:bookmarkStart w:id="70" w:name="_Toc18376"/>
      <w:bookmarkEnd w:id="70"/>
      <w:bookmarkStart w:id="71" w:name="_Toc9507"/>
    </w:p>
    <w:p w14:paraId="43737276">
      <w:pPr>
        <w:pStyle w:val="110"/>
        <w:numPr>
          <w:ilvl w:val="2"/>
          <w:numId w:val="0"/>
        </w:numPr>
        <w:bidi w:val="0"/>
        <w:ind w:leftChars="0" w:firstLine="420" w:firstLineChars="200"/>
        <w:rPr>
          <w:rFonts w:hint="eastAsia"/>
          <w:lang w:val="en-US" w:eastAsia="zh-CN"/>
        </w:rPr>
      </w:pPr>
      <w:bookmarkStart w:id="72" w:name="_Toc14795"/>
      <w:r>
        <w:rPr>
          <w:rFonts w:hint="eastAsia"/>
          <w:lang w:val="en-US" w:eastAsia="zh-CN"/>
        </w:rPr>
        <w:t xml:space="preserve">绝缘硬梯 </w:t>
      </w:r>
      <w:r>
        <w:rPr>
          <w:rFonts w:hint="eastAsia" w:ascii="Times New Roman" w:hAnsi="Times New Roman" w:cs="Times New Roman"/>
          <w:lang w:val="en-US" w:eastAsia="zh-CN"/>
        </w:rPr>
        <w:t>rigid insulating ladder</w:t>
      </w:r>
      <w:bookmarkEnd w:id="71"/>
      <w:bookmarkEnd w:id="72"/>
    </w:p>
    <w:p w14:paraId="62499921">
      <w:pPr>
        <w:pStyle w:val="61"/>
        <w:ind w:firstLine="200"/>
        <w:rPr>
          <w:rFonts w:hint="eastAsia" w:ascii="宋体" w:hAnsi="Times New Roman" w:eastAsia="宋体" w:cs="Times New Roman"/>
          <w:lang w:val="en-US" w:eastAsia="zh-CN"/>
        </w:rPr>
      </w:pPr>
      <w:r>
        <w:rPr>
          <w:rFonts w:hint="eastAsia" w:ascii="宋体" w:hAnsi="Times New Roman" w:eastAsia="宋体" w:cs="Times New Roman"/>
          <w:lang w:val="en-US" w:eastAsia="zh-CN"/>
        </w:rPr>
        <w:t>采用玻璃纤维增强型不饱和聚酯树脂（俗称玻璃钢）等绝缘材料制成的具有足够机械刚度的梯子。</w:t>
      </w:r>
    </w:p>
    <w:p w14:paraId="4013235C">
      <w:pPr>
        <w:pStyle w:val="110"/>
        <w:bidi w:val="0"/>
        <w:rPr>
          <w:rFonts w:hint="eastAsia"/>
          <w:lang w:val="en-US" w:eastAsia="zh-CN"/>
        </w:rPr>
      </w:pPr>
      <w:bookmarkStart w:id="73" w:name="_Toc29290"/>
      <w:bookmarkEnd w:id="73"/>
      <w:bookmarkStart w:id="74" w:name="_Toc10700"/>
    </w:p>
    <w:p w14:paraId="28230B5F">
      <w:pPr>
        <w:pStyle w:val="110"/>
        <w:numPr>
          <w:ilvl w:val="2"/>
          <w:numId w:val="0"/>
        </w:numPr>
        <w:bidi w:val="0"/>
        <w:ind w:leftChars="0" w:firstLine="420" w:firstLineChars="200"/>
        <w:rPr>
          <w:rFonts w:hint="eastAsia"/>
          <w:lang w:val="en-US" w:eastAsia="zh-CN"/>
        </w:rPr>
      </w:pPr>
      <w:bookmarkStart w:id="75" w:name="_Toc30215"/>
      <w:r>
        <w:rPr>
          <w:rFonts w:hint="eastAsia"/>
          <w:lang w:val="en-US" w:eastAsia="zh-CN"/>
        </w:rPr>
        <w:t xml:space="preserve">绝缘伸缩梯 </w:t>
      </w:r>
      <w:r>
        <w:rPr>
          <w:rFonts w:hint="eastAsia" w:ascii="Times New Roman" w:hAnsi="Times New Roman" w:cs="Times New Roman"/>
          <w:lang w:val="en-US" w:eastAsia="zh-CN"/>
        </w:rPr>
        <w:t>rigid insulating ladder</w:t>
      </w:r>
      <w:bookmarkEnd w:id="74"/>
      <w:bookmarkEnd w:id="75"/>
    </w:p>
    <w:p w14:paraId="1B150930">
      <w:pPr>
        <w:pStyle w:val="61"/>
        <w:ind w:firstLine="200"/>
        <w:rPr>
          <w:rFonts w:hint="eastAsia" w:ascii="宋体" w:hAnsi="Times New Roman" w:eastAsia="宋体" w:cs="Times New Roman"/>
          <w:lang w:val="en-US" w:eastAsia="zh-CN"/>
        </w:rPr>
      </w:pPr>
      <w:r>
        <w:rPr>
          <w:rFonts w:hint="eastAsia" w:ascii="宋体" w:hAnsi="Times New Roman" w:eastAsia="宋体" w:cs="Times New Roman"/>
          <w:lang w:val="en-US" w:eastAsia="zh-CN"/>
        </w:rPr>
        <w:t>梯子由多节可伸缩套接的绝缘管组成，依靠锁止机构在展开后保持工作长度，包含鱼竿式伸缩梯等型式。</w:t>
      </w:r>
    </w:p>
    <w:p w14:paraId="3E12321F">
      <w:pPr>
        <w:pStyle w:val="110"/>
        <w:bidi w:val="0"/>
        <w:rPr>
          <w:rFonts w:hint="eastAsia"/>
          <w:lang w:val="en-US" w:eastAsia="zh-CN"/>
        </w:rPr>
      </w:pPr>
      <w:bookmarkStart w:id="76" w:name="_Toc5749"/>
      <w:bookmarkEnd w:id="76"/>
      <w:bookmarkStart w:id="77" w:name="_Toc27029"/>
    </w:p>
    <w:p w14:paraId="54703B3C">
      <w:pPr>
        <w:pStyle w:val="110"/>
        <w:numPr>
          <w:ilvl w:val="2"/>
          <w:numId w:val="0"/>
        </w:numPr>
        <w:bidi w:val="0"/>
        <w:ind w:leftChars="0" w:firstLine="420" w:firstLineChars="200"/>
        <w:rPr>
          <w:rFonts w:hint="eastAsia"/>
          <w:lang w:val="en-US" w:eastAsia="zh-CN"/>
        </w:rPr>
      </w:pPr>
      <w:bookmarkStart w:id="78" w:name="_Toc22604"/>
      <w:r>
        <w:rPr>
          <w:rFonts w:hint="eastAsia"/>
          <w:lang w:val="en-US" w:eastAsia="zh-CN"/>
        </w:rPr>
        <w:t>绝缘软梯</w:t>
      </w:r>
      <w:r>
        <w:rPr>
          <w:rFonts w:hint="eastAsia" w:ascii="Times New Roman" w:hAnsi="Times New Roman" w:cs="Times New Roman"/>
          <w:lang w:val="en-US" w:eastAsia="zh-CN"/>
        </w:rPr>
        <w:t xml:space="preserve"> flexible insulating ladder</w:t>
      </w:r>
      <w:bookmarkEnd w:id="77"/>
      <w:bookmarkEnd w:id="78"/>
    </w:p>
    <w:p w14:paraId="2C0014AB">
      <w:pPr>
        <w:pStyle w:val="61"/>
        <w:ind w:firstLine="200"/>
        <w:rPr>
          <w:rFonts w:hint="eastAsia" w:ascii="宋体" w:hAnsi="Times New Roman" w:eastAsia="宋体" w:cs="Times New Roman"/>
          <w:lang w:val="en-US" w:eastAsia="zh-CN"/>
        </w:rPr>
      </w:pPr>
      <w:r>
        <w:rPr>
          <w:rFonts w:hint="eastAsia" w:ascii="宋体" w:hAnsi="Times New Roman" w:eastAsia="宋体" w:cs="Times New Roman"/>
          <w:lang w:val="en-US" w:eastAsia="zh-CN"/>
        </w:rPr>
        <w:t>由绝缘绳索（含横档绳扣）构成梯身，与软梯头（悬挂平台）配合使用，适用于高塔进出等电位作业的梯具。</w:t>
      </w:r>
    </w:p>
    <w:p w14:paraId="067F389F">
      <w:pPr>
        <w:pStyle w:val="110"/>
        <w:bidi w:val="0"/>
        <w:rPr>
          <w:rFonts w:hint="eastAsia"/>
          <w:lang w:val="en-US" w:eastAsia="zh-CN"/>
        </w:rPr>
      </w:pPr>
      <w:bookmarkStart w:id="79" w:name="_Toc31375"/>
      <w:bookmarkEnd w:id="79"/>
      <w:bookmarkStart w:id="80" w:name="_Toc7385"/>
    </w:p>
    <w:p w14:paraId="11DBBAA9">
      <w:pPr>
        <w:pStyle w:val="110"/>
        <w:numPr>
          <w:ilvl w:val="2"/>
          <w:numId w:val="0"/>
        </w:numPr>
        <w:bidi w:val="0"/>
        <w:ind w:leftChars="0" w:firstLine="420" w:firstLineChars="200"/>
        <w:rPr>
          <w:rFonts w:hint="eastAsia"/>
          <w:lang w:val="en-US" w:eastAsia="zh-CN"/>
        </w:rPr>
      </w:pPr>
      <w:bookmarkStart w:id="81" w:name="_Toc10462"/>
      <w:r>
        <w:rPr>
          <w:rFonts w:hint="eastAsia"/>
          <w:lang w:val="en-US" w:eastAsia="zh-CN"/>
        </w:rPr>
        <w:t xml:space="preserve">有效绝缘长度 </w:t>
      </w:r>
      <w:r>
        <w:rPr>
          <w:rFonts w:hint="eastAsia" w:ascii="Times New Roman" w:hAnsi="Times New Roman" w:cs="Times New Roman"/>
          <w:lang w:val="en-US" w:eastAsia="zh-CN"/>
        </w:rPr>
        <w:t>effective insulation length</w:t>
      </w:r>
      <w:bookmarkEnd w:id="80"/>
      <w:bookmarkEnd w:id="81"/>
    </w:p>
    <w:p w14:paraId="098EFF36">
      <w:pPr>
        <w:pStyle w:val="61"/>
        <w:ind w:firstLine="200"/>
        <w:rPr>
          <w:rFonts w:hint="eastAsia" w:ascii="宋体" w:hAnsi="Times New Roman" w:eastAsia="宋体" w:cs="Times New Roman"/>
          <w:lang w:val="en-US" w:eastAsia="zh-CN"/>
        </w:rPr>
      </w:pPr>
      <w:r>
        <w:rPr>
          <w:rFonts w:hint="eastAsia" w:ascii="宋体" w:hAnsi="Times New Roman" w:eastAsia="宋体" w:cs="Times New Roman"/>
          <w:lang w:val="en-US" w:eastAsia="zh-CN"/>
        </w:rPr>
        <w:t>绝缘梯在带电作业中能够提供可靠电气绝缘的部件长度，通常指定为梯子相邻两节连接点间的绝缘管长度或梯框全长减去两端金属连接件长度后的部分。</w:t>
      </w:r>
    </w:p>
    <w:p w14:paraId="2B7972E1">
      <w:pPr>
        <w:pStyle w:val="110"/>
        <w:bidi w:val="0"/>
        <w:rPr>
          <w:rFonts w:hint="eastAsia"/>
          <w:lang w:val="en-US" w:eastAsia="zh-CN"/>
        </w:rPr>
      </w:pPr>
      <w:bookmarkStart w:id="82" w:name="_Toc14684"/>
      <w:bookmarkEnd w:id="82"/>
      <w:bookmarkStart w:id="83" w:name="_Toc22374"/>
    </w:p>
    <w:p w14:paraId="72525A43">
      <w:pPr>
        <w:pStyle w:val="110"/>
        <w:numPr>
          <w:ilvl w:val="2"/>
          <w:numId w:val="0"/>
        </w:numPr>
        <w:bidi w:val="0"/>
        <w:ind w:leftChars="0" w:firstLine="420" w:firstLineChars="200"/>
        <w:rPr>
          <w:rFonts w:hint="eastAsia"/>
          <w:lang w:val="en-US" w:eastAsia="zh-CN"/>
        </w:rPr>
      </w:pPr>
      <w:bookmarkStart w:id="84" w:name="_Toc30745"/>
      <w:r>
        <w:rPr>
          <w:rFonts w:hint="eastAsia"/>
          <w:lang w:val="en-US" w:eastAsia="zh-CN"/>
        </w:rPr>
        <w:t xml:space="preserve">静负荷试验 </w:t>
      </w:r>
      <w:r>
        <w:rPr>
          <w:rFonts w:hint="eastAsia" w:ascii="Times New Roman" w:hAnsi="Times New Roman" w:cs="Times New Roman"/>
          <w:lang w:val="en-US" w:eastAsia="zh-CN"/>
        </w:rPr>
        <w:t>static load test</w:t>
      </w:r>
      <w:bookmarkEnd w:id="83"/>
      <w:bookmarkEnd w:id="84"/>
    </w:p>
    <w:p w14:paraId="2FEB8746">
      <w:pPr>
        <w:pStyle w:val="61"/>
        <w:ind w:firstLine="200"/>
        <w:rPr>
          <w:rFonts w:hint="eastAsia" w:ascii="宋体" w:hAnsi="Times New Roman" w:eastAsia="宋体" w:cs="Times New Roman"/>
          <w:lang w:val="en-US" w:eastAsia="zh-CN"/>
        </w:rPr>
      </w:pPr>
      <w:r>
        <w:rPr>
          <w:rFonts w:hint="eastAsia" w:ascii="宋体" w:hAnsi="Times New Roman" w:eastAsia="宋体" w:cs="Times New Roman"/>
          <w:lang w:val="en-US" w:eastAsia="zh-CN"/>
        </w:rPr>
        <w:t>在梯具处于工作状态时，将规定的静载荷均匀施加于踏档中部，持续一定时间，用以考核其结构强度和整体刚性的试验。</w:t>
      </w:r>
    </w:p>
    <w:p w14:paraId="564B80CE">
      <w:pPr>
        <w:pStyle w:val="110"/>
        <w:bidi w:val="0"/>
        <w:rPr>
          <w:rFonts w:hint="eastAsia"/>
          <w:lang w:val="en-US" w:eastAsia="zh-CN"/>
        </w:rPr>
      </w:pPr>
      <w:bookmarkStart w:id="85" w:name="_Toc10878"/>
      <w:bookmarkEnd w:id="85"/>
      <w:bookmarkStart w:id="86" w:name="_Toc26150"/>
    </w:p>
    <w:p w14:paraId="5B55C706">
      <w:pPr>
        <w:pStyle w:val="110"/>
        <w:numPr>
          <w:ilvl w:val="2"/>
          <w:numId w:val="0"/>
        </w:numPr>
        <w:bidi w:val="0"/>
        <w:ind w:leftChars="0" w:firstLine="420" w:firstLineChars="200"/>
        <w:rPr>
          <w:rFonts w:hint="eastAsia"/>
          <w:lang w:val="en-US" w:eastAsia="zh-CN"/>
        </w:rPr>
      </w:pPr>
      <w:bookmarkStart w:id="87" w:name="_Toc1790"/>
      <w:r>
        <w:rPr>
          <w:rFonts w:hint="eastAsia"/>
          <w:lang w:val="en-US" w:eastAsia="zh-CN"/>
        </w:rPr>
        <w:t>动负荷试验</w:t>
      </w:r>
      <w:r>
        <w:rPr>
          <w:rFonts w:hint="eastAsia" w:ascii="Times New Roman" w:hAnsi="Times New Roman" w:cs="Times New Roman"/>
          <w:lang w:val="en-US" w:eastAsia="zh-CN"/>
        </w:rPr>
        <w:t xml:space="preserve"> dynamic load test</w:t>
      </w:r>
      <w:bookmarkEnd w:id="86"/>
      <w:bookmarkEnd w:id="87"/>
    </w:p>
    <w:p w14:paraId="61FA6009">
      <w:pPr>
        <w:pStyle w:val="61"/>
        <w:ind w:firstLine="200"/>
        <w:rPr>
          <w:rFonts w:hint="eastAsia" w:ascii="宋体" w:hAnsi="Times New Roman" w:eastAsia="宋体" w:cs="Times New Roman"/>
          <w:lang w:val="en-US" w:eastAsia="zh-CN"/>
        </w:rPr>
      </w:pPr>
      <w:r>
        <w:rPr>
          <w:rFonts w:hint="eastAsia" w:ascii="宋体" w:hAnsi="Times New Roman" w:eastAsia="宋体" w:cs="Times New Roman"/>
          <w:lang w:val="en-US" w:eastAsia="zh-CN"/>
        </w:rPr>
        <w:t>按梯具使用时的动态承载情况，施加一定幅度的动态冲击载荷或带载升降，以评估其抗冲击能力的试验。</w:t>
      </w:r>
    </w:p>
    <w:p w14:paraId="76F25773">
      <w:pPr>
        <w:pStyle w:val="110"/>
        <w:bidi w:val="0"/>
        <w:rPr>
          <w:rFonts w:hint="eastAsia"/>
          <w:lang w:val="en-US" w:eastAsia="zh-CN"/>
        </w:rPr>
      </w:pPr>
      <w:bookmarkStart w:id="88" w:name="_Toc16741"/>
      <w:bookmarkEnd w:id="88"/>
      <w:bookmarkStart w:id="89" w:name="_Toc3167"/>
    </w:p>
    <w:p w14:paraId="12D874A4">
      <w:pPr>
        <w:pStyle w:val="110"/>
        <w:numPr>
          <w:ilvl w:val="2"/>
          <w:numId w:val="0"/>
        </w:numPr>
        <w:bidi w:val="0"/>
        <w:ind w:leftChars="0" w:firstLine="420" w:firstLineChars="200"/>
        <w:rPr>
          <w:rFonts w:hint="eastAsia"/>
          <w:lang w:val="en-US" w:eastAsia="zh-CN"/>
        </w:rPr>
      </w:pPr>
      <w:bookmarkStart w:id="90" w:name="_Toc25006"/>
      <w:r>
        <w:rPr>
          <w:rFonts w:hint="eastAsia"/>
          <w:lang w:val="en-US" w:eastAsia="zh-CN"/>
        </w:rPr>
        <w:t>预防性试验</w:t>
      </w:r>
      <w:r>
        <w:rPr>
          <w:rFonts w:hint="default" w:ascii="Times New Roman" w:hAnsi="Times New Roman" w:cs="Times New Roman"/>
          <w:lang w:val="en-US" w:eastAsia="zh-CN"/>
        </w:rPr>
        <w:t xml:space="preserve"> preventive test</w:t>
      </w:r>
      <w:bookmarkEnd w:id="89"/>
      <w:bookmarkEnd w:id="90"/>
    </w:p>
    <w:p w14:paraId="0C6ACBA2">
      <w:pPr>
        <w:pStyle w:val="61"/>
        <w:ind w:firstLine="200"/>
        <w:rPr>
          <w:rFonts w:hint="eastAsia" w:ascii="宋体" w:hAnsi="Times New Roman" w:eastAsia="宋体" w:cs="Times New Roman"/>
          <w:lang w:val="en-US" w:eastAsia="zh-CN"/>
        </w:rPr>
      </w:pPr>
      <w:r>
        <w:rPr>
          <w:rFonts w:hint="eastAsia" w:ascii="宋体" w:hAnsi="Times New Roman" w:eastAsia="宋体" w:cs="Times New Roman"/>
          <w:lang w:val="en-US" w:eastAsia="zh-CN"/>
        </w:rPr>
        <w:t>按规定的周期和项目，对在使用中的绝缘梯进行电气和机械性能的定期检测，用以判断其是否符合继续使用条件的试验。</w:t>
      </w:r>
    </w:p>
    <w:p w14:paraId="21C00BE5">
      <w:pPr>
        <w:pStyle w:val="109"/>
        <w:spacing w:before="240" w:after="240"/>
        <w:rPr>
          <w:rFonts w:hint="eastAsia" w:hAnsi="Times New Roman" w:cs="Times New Roman"/>
          <w:szCs w:val="21"/>
          <w:lang w:val="en-US" w:eastAsia="zh-CN"/>
        </w:rPr>
      </w:pPr>
      <w:bookmarkStart w:id="91" w:name="_Toc13999"/>
      <w:bookmarkEnd w:id="91"/>
      <w:bookmarkStart w:id="92" w:name="_Toc7069"/>
      <w:bookmarkEnd w:id="92"/>
      <w:bookmarkStart w:id="93" w:name="_Toc14568"/>
      <w:bookmarkEnd w:id="93"/>
      <w:bookmarkStart w:id="94" w:name="_Toc26145"/>
      <w:bookmarkEnd w:id="94"/>
      <w:bookmarkStart w:id="95" w:name="_Toc18728"/>
      <w:bookmarkEnd w:id="95"/>
      <w:bookmarkStart w:id="96" w:name="_Toc5117"/>
      <w:bookmarkEnd w:id="96"/>
      <w:bookmarkStart w:id="97" w:name="_Toc4888"/>
      <w:bookmarkEnd w:id="97"/>
      <w:bookmarkStart w:id="98" w:name="_Toc9885"/>
      <w:bookmarkEnd w:id="98"/>
      <w:bookmarkStart w:id="99" w:name="_Toc10379"/>
      <w:bookmarkEnd w:id="99"/>
      <w:bookmarkStart w:id="100" w:name="_Toc8634"/>
      <w:bookmarkEnd w:id="100"/>
      <w:bookmarkStart w:id="101" w:name="_Toc2278"/>
      <w:bookmarkEnd w:id="101"/>
      <w:bookmarkStart w:id="102" w:name="_Toc29565"/>
      <w:bookmarkEnd w:id="102"/>
      <w:bookmarkStart w:id="103" w:name="_Toc28917"/>
      <w:bookmarkEnd w:id="103"/>
      <w:bookmarkStart w:id="104" w:name="_Toc5319"/>
      <w:r>
        <w:rPr>
          <w:rFonts w:hint="eastAsia" w:hAnsi="Times New Roman" w:cs="Times New Roman"/>
          <w:szCs w:val="21"/>
          <w:lang w:val="en-US" w:eastAsia="zh-CN"/>
        </w:rPr>
        <w:t>分类与</w:t>
      </w:r>
      <w:r>
        <w:rPr>
          <w:rFonts w:hint="eastAsia" w:cs="Times New Roman"/>
          <w:szCs w:val="21"/>
          <w:lang w:val="en-US" w:eastAsia="zh-CN"/>
        </w:rPr>
        <w:t>命名</w:t>
      </w:r>
      <w:bookmarkEnd w:id="104"/>
    </w:p>
    <w:p w14:paraId="49D69885">
      <w:pPr>
        <w:pStyle w:val="110"/>
        <w:bidi w:val="0"/>
        <w:rPr>
          <w:rFonts w:hint="eastAsia"/>
          <w:lang w:val="en-US" w:eastAsia="zh-CN"/>
        </w:rPr>
      </w:pPr>
      <w:bookmarkStart w:id="105" w:name="_Toc30793"/>
      <w:r>
        <w:rPr>
          <w:rFonts w:hint="eastAsia"/>
          <w:lang w:val="en-US" w:eastAsia="zh-CN"/>
        </w:rPr>
        <w:t>分类</w:t>
      </w:r>
      <w:bookmarkEnd w:id="105"/>
    </w:p>
    <w:p w14:paraId="7B744082">
      <w:pPr>
        <w:pStyle w:val="61"/>
        <w:rPr>
          <w:rFonts w:hint="eastAsia"/>
          <w:lang w:val="en-US" w:eastAsia="zh-CN"/>
        </w:rPr>
      </w:pPr>
      <w:r>
        <w:rPr>
          <w:rFonts w:hint="eastAsia"/>
          <w:lang w:val="en-US" w:eastAsia="zh-CN"/>
        </w:rPr>
        <w:t>绝缘梯按结构型式可分为以下三类：</w:t>
      </w:r>
    </w:p>
    <w:p w14:paraId="6986AAC5">
      <w:pPr>
        <w:pStyle w:val="61"/>
        <w:rPr>
          <w:rFonts w:hint="eastAsia"/>
          <w:lang w:val="en-US" w:eastAsia="zh-CN"/>
        </w:rPr>
      </w:pPr>
      <w:r>
        <w:rPr>
          <w:rFonts w:hint="eastAsia"/>
          <w:lang w:val="en-US" w:eastAsia="zh-CN"/>
        </w:rPr>
        <w:t>a) A类：绝缘硬梯，包括直梯、人字梯（自立式）、折梯（铰链式）、蜈蚣梯等结构固定或可折叠但不可伸缩的刚性梯。</w:t>
      </w:r>
    </w:p>
    <w:p w14:paraId="3B270896">
      <w:pPr>
        <w:pStyle w:val="61"/>
        <w:rPr>
          <w:rFonts w:hint="eastAsia"/>
          <w:lang w:val="en-US" w:eastAsia="zh-CN"/>
        </w:rPr>
      </w:pPr>
      <w:r>
        <w:rPr>
          <w:rFonts w:hint="eastAsia"/>
          <w:lang w:val="en-US" w:eastAsia="zh-CN"/>
        </w:rPr>
        <w:t>b) B类：绝缘伸缩梯，包括直伸缩梯（单/双向）、鱼竿式伸缩梯（由多节绝缘套管组成，依靠卡扣锁止）。</w:t>
      </w:r>
    </w:p>
    <w:p w14:paraId="50B6D555">
      <w:pPr>
        <w:pStyle w:val="61"/>
        <w:rPr>
          <w:rFonts w:hint="eastAsia"/>
          <w:lang w:val="en-US" w:eastAsia="zh-CN"/>
        </w:rPr>
      </w:pPr>
      <w:r>
        <w:rPr>
          <w:rFonts w:hint="eastAsia"/>
          <w:lang w:val="en-US" w:eastAsia="zh-CN"/>
        </w:rPr>
        <w:t>c) C类：绝缘软梯，包括绝缘绳索编织型梯（横档为硬质绝缘棒或绳索打结），与软梯头配套使用。</w:t>
      </w:r>
    </w:p>
    <w:p w14:paraId="642CCC5C">
      <w:pPr>
        <w:pStyle w:val="110"/>
        <w:bidi w:val="0"/>
        <w:rPr>
          <w:rFonts w:hint="eastAsia"/>
          <w:lang w:val="en-US" w:eastAsia="zh-CN"/>
        </w:rPr>
      </w:pPr>
      <w:bookmarkStart w:id="106" w:name="_Toc27981"/>
      <w:r>
        <w:rPr>
          <w:rFonts w:hint="eastAsia"/>
          <w:lang w:val="en-US" w:eastAsia="zh-CN"/>
        </w:rPr>
        <w:t>命名</w:t>
      </w:r>
      <w:bookmarkEnd w:id="106"/>
    </w:p>
    <w:p w14:paraId="507DC2A6">
      <w:pPr>
        <w:pStyle w:val="61"/>
        <w:ind w:firstLine="420" w:firstLineChars="200"/>
        <w:rPr>
          <w:rFonts w:hint="eastAsia"/>
          <w:lang w:val="en-US" w:eastAsia="zh-CN"/>
        </w:rPr>
      </w:pPr>
      <w:r>
        <w:rPr>
          <w:rFonts w:hint="eastAsia"/>
          <w:lang w:val="en-US" w:eastAsia="zh-CN"/>
        </w:rPr>
        <w:t>绝缘梯的型号命名由产品类别代号、额定电压等级（kV）及额定载荷（N）构成。命名示例如下：</w:t>
      </w:r>
    </w:p>
    <w:p w14:paraId="75526ADD">
      <w:pPr>
        <w:pStyle w:val="61"/>
        <w:rPr>
          <w:rFonts w:hint="eastAsia"/>
          <w:lang w:val="en-US" w:eastAsia="zh-CN"/>
        </w:rPr>
      </w:pPr>
      <w:r>
        <w:rPr>
          <w:rFonts w:hint="eastAsia"/>
          <w:lang w:val="en-US" w:eastAsia="zh-CN"/>
        </w:rPr>
        <w:t>a) A/220-2000，表示220 kV电压等级用、额定载荷2000 N的绝缘硬梯；</w:t>
      </w:r>
    </w:p>
    <w:p w14:paraId="6018A725">
      <w:pPr>
        <w:pStyle w:val="61"/>
        <w:rPr>
          <w:rFonts w:hint="eastAsia"/>
          <w:lang w:val="en-US" w:eastAsia="zh-CN"/>
        </w:rPr>
      </w:pPr>
      <w:r>
        <w:rPr>
          <w:rFonts w:hint="eastAsia"/>
          <w:lang w:val="en-US" w:eastAsia="zh-CN"/>
        </w:rPr>
        <w:t>b) B/110-1500，表示110 kV电压等级用、额定载荷1500 N的绝缘伸缩梯；</w:t>
      </w:r>
    </w:p>
    <w:p w14:paraId="39F5D04A">
      <w:pPr>
        <w:pStyle w:val="61"/>
        <w:rPr>
          <w:rFonts w:hint="eastAsia"/>
          <w:lang w:val="en-US" w:eastAsia="zh-CN"/>
        </w:rPr>
      </w:pPr>
      <w:r>
        <w:rPr>
          <w:rFonts w:hint="eastAsia"/>
          <w:lang w:val="en-US" w:eastAsia="zh-CN"/>
        </w:rPr>
        <w:t>c) C/500-1000，表示500 kV电压等级用、额定载荷1000 N的绝缘软梯。</w:t>
      </w:r>
    </w:p>
    <w:p w14:paraId="46B14BE0">
      <w:pPr>
        <w:pStyle w:val="109"/>
        <w:spacing w:before="240" w:after="240"/>
        <w:rPr>
          <w:rFonts w:hint="eastAsia" w:hAnsi="Times New Roman" w:cs="Times New Roman"/>
          <w:szCs w:val="21"/>
          <w:lang w:val="en-US" w:eastAsia="zh-CN"/>
        </w:rPr>
      </w:pPr>
      <w:bookmarkStart w:id="107" w:name="_Toc11732"/>
      <w:bookmarkStart w:id="108" w:name="_Toc30806"/>
      <w:bookmarkStart w:id="109" w:name="_Toc19964"/>
      <w:r>
        <w:rPr>
          <w:rFonts w:hint="eastAsia" w:hAnsi="Times New Roman" w:cs="Times New Roman"/>
          <w:szCs w:val="21"/>
          <w:lang w:val="en-US" w:eastAsia="zh-CN"/>
        </w:rPr>
        <w:t>技术要求</w:t>
      </w:r>
      <w:bookmarkEnd w:id="107"/>
      <w:bookmarkEnd w:id="108"/>
      <w:bookmarkEnd w:id="109"/>
    </w:p>
    <w:p w14:paraId="05291AAC">
      <w:pPr>
        <w:pStyle w:val="110"/>
        <w:bidi w:val="0"/>
        <w:rPr>
          <w:rFonts w:hint="eastAsia"/>
          <w:lang w:val="en-US" w:eastAsia="zh-CN"/>
        </w:rPr>
      </w:pPr>
      <w:bookmarkStart w:id="110" w:name="_Toc21241"/>
      <w:r>
        <w:rPr>
          <w:rFonts w:hint="eastAsia"/>
          <w:lang w:val="en-US" w:eastAsia="zh-CN"/>
        </w:rPr>
        <w:t>一般要求</w:t>
      </w:r>
      <w:bookmarkEnd w:id="110"/>
    </w:p>
    <w:p w14:paraId="1F48B8C0">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5.1.1 绝缘梯应符合本文件的要求，并按照经规定程序批准的图样和技术文件制造。</w:t>
      </w:r>
    </w:p>
    <w:p w14:paraId="2EE55C52">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5.1.2 绝缘梯的零部件（绝缘管、横档、连接件、锁止机构等）应无裂纹、无毛刺、无气泡、无严重表面不平整等缺陷。</w:t>
      </w:r>
    </w:p>
    <w:p w14:paraId="3E23D1F7">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5.1.3 外露金属件应采用不锈钢或经防锈处理的耐蚀合金，对于与绝缘材料接触的金属件，应采取防止产生有害电化学腐蚀的措施。</w:t>
      </w:r>
    </w:p>
    <w:p w14:paraId="47FE4ABA">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5.1.4 绝缘梯全长的外表面不应有明显的凹痕、气泡、污渍或分层。</w:t>
      </w:r>
    </w:p>
    <w:p w14:paraId="1CE74166">
      <w:pPr>
        <w:pStyle w:val="110"/>
        <w:bidi w:val="0"/>
        <w:rPr>
          <w:rFonts w:hint="eastAsia"/>
          <w:lang w:val="en-US" w:eastAsia="zh-CN"/>
        </w:rPr>
      </w:pPr>
      <w:bookmarkStart w:id="111" w:name="_Toc7951"/>
      <w:r>
        <w:rPr>
          <w:rFonts w:hint="eastAsia"/>
          <w:lang w:val="en-US" w:eastAsia="zh-CN"/>
        </w:rPr>
        <w:t>材料要求</w:t>
      </w:r>
      <w:bookmarkEnd w:id="111"/>
    </w:p>
    <w:p w14:paraId="4BE4352D">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5.2.1 梯子的绝缘部件应采用玻璃纤维增强型不饱和聚酯树脂（玻璃钢）等绝缘材料制造；该材料的电气性能应符合GB 13398的相关要求。</w:t>
      </w:r>
    </w:p>
    <w:p w14:paraId="053756EC">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5.2.2 梯子的金属部件应选用高强度轻质材料（如铝合金），并应进行防腐处理。铝合金部件应进行阳极氧化处理，钢制件应采取可靠的防护镀层。</w:t>
      </w:r>
    </w:p>
    <w:p w14:paraId="6F7600D9">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5.2.3 当使用空心绝缘管或泡沫填充绝缘管时，应符合GB/T 13398的要求，绝缘材料表面应光滑，无气泡、皱纹、开裂、擦伤或过热痕迹，颜色一般为浅黄绿至棕色。</w:t>
      </w:r>
    </w:p>
    <w:p w14:paraId="18F69BD2">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5.2.4 绝缘软梯的绳索部分应符合GB/T 13035的要求。</w:t>
      </w:r>
    </w:p>
    <w:p w14:paraId="6134441F">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5.2.5 梯具中使用的橡胶或塑料防滑垫脚、护套等材料，应具有耐老化、耐低温（-40℃）和耐高温（+60℃）性能。</w:t>
      </w:r>
    </w:p>
    <w:p w14:paraId="31F6AE85">
      <w:pPr>
        <w:pStyle w:val="110"/>
        <w:bidi w:val="0"/>
        <w:rPr>
          <w:rFonts w:hint="eastAsia"/>
          <w:lang w:val="en-US" w:eastAsia="zh-CN"/>
        </w:rPr>
      </w:pPr>
      <w:bookmarkStart w:id="112" w:name="_Toc31015"/>
      <w:r>
        <w:rPr>
          <w:rFonts w:hint="eastAsia"/>
          <w:lang w:val="en-US" w:eastAsia="zh-CN"/>
        </w:rPr>
        <w:t>外观与结构要求</w:t>
      </w:r>
      <w:bookmarkEnd w:id="112"/>
    </w:p>
    <w:p w14:paraId="38BEE3E6">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5.3.1 梯子外形美观，外表面无尖锐棱角，边角应倒圆弧处理。</w:t>
      </w:r>
    </w:p>
    <w:p w14:paraId="7E20ADF3">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5.3.2 加工表面应规则、平整；金属部件表面粗糙度Ra应不大于6.3 μm。</w:t>
      </w:r>
    </w:p>
    <w:p w14:paraId="4E13D2D3">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5.3.3 梯子的梯梁和横档应连接牢固，结构稳定。对于铰接型人字梯，铰接部位应转动灵活、锁止可靠。</w:t>
      </w:r>
    </w:p>
    <w:p w14:paraId="2A90E48D">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5.3.4 梯子应结构合理，无裂纹、破损和污渍。</w:t>
      </w:r>
    </w:p>
    <w:p w14:paraId="314B93BA">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5.3.5 所有标志应耐久、清晰，不得因正常使用和擦拭而脱落。</w:t>
      </w:r>
    </w:p>
    <w:p w14:paraId="7A8E1D51">
      <w:pPr>
        <w:pStyle w:val="110"/>
        <w:bidi w:val="0"/>
        <w:rPr>
          <w:rFonts w:hint="eastAsia"/>
          <w:lang w:val="en-US" w:eastAsia="zh-CN"/>
        </w:rPr>
      </w:pPr>
      <w:bookmarkStart w:id="113" w:name="_Toc7426"/>
      <w:r>
        <w:rPr>
          <w:rFonts w:hint="eastAsia"/>
          <w:lang w:val="en-US" w:eastAsia="zh-CN"/>
        </w:rPr>
        <w:t>尺寸与公差</w:t>
      </w:r>
      <w:bookmarkEnd w:id="113"/>
    </w:p>
    <w:p w14:paraId="0DE90DEC">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5.4.1 绝缘硬梯的梯框内宽不应小于250 mm（单通道梯同等宽度）。</w:t>
      </w:r>
    </w:p>
    <w:p w14:paraId="2FAA90B4">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5.4.2 绝缘硬梯的横档间距宜为280 mm～350 mm，伸缩梯横档间距宜为250 mm～350 mm。</w:t>
      </w:r>
    </w:p>
    <w:p w14:paraId="1013C5B2">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5.4.3 绝缘软梯的有效绝缘长度和横档间距应符合DL/T 2317的相关规定。梯子长度偏差应在标称值的±2%范围内，横档间距应均匀一致。</w:t>
      </w:r>
    </w:p>
    <w:p w14:paraId="7C05763E">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5.4.4 梯子的壁厚不应小于3.8 mm。</w:t>
      </w:r>
    </w:p>
    <w:p w14:paraId="1E22296D">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5.4.5 各类绝缘梯的有效绝缘长度应符合GB/T 17620的规定。</w:t>
      </w:r>
    </w:p>
    <w:p w14:paraId="19597D8E">
      <w:pPr>
        <w:pStyle w:val="110"/>
        <w:bidi w:val="0"/>
        <w:rPr>
          <w:rFonts w:hint="eastAsia"/>
          <w:lang w:val="en-US" w:eastAsia="zh-CN"/>
        </w:rPr>
      </w:pPr>
      <w:bookmarkStart w:id="114" w:name="_Toc4983"/>
      <w:r>
        <w:rPr>
          <w:rFonts w:hint="eastAsia"/>
          <w:lang w:val="en-US" w:eastAsia="zh-CN"/>
        </w:rPr>
        <w:t>机械性能要求</w:t>
      </w:r>
      <w:bookmarkEnd w:id="114"/>
    </w:p>
    <w:p w14:paraId="6781BE85">
      <w:pPr>
        <w:pStyle w:val="61"/>
        <w:ind w:left="0" w:leftChars="0" w:firstLine="0" w:firstLineChars="0"/>
        <w:rPr>
          <w:rFonts w:hint="eastAsia"/>
          <w:lang w:val="en-US" w:eastAsia="zh-CN"/>
        </w:rPr>
      </w:pPr>
      <w:r>
        <w:rPr>
          <w:rFonts w:hint="eastAsia"/>
          <w:lang w:val="en-US" w:eastAsia="zh-CN"/>
        </w:rPr>
        <w:t>5.5.1 绝缘梯的允许工作负荷（额定载荷）为该梯具能安全承载的单个使用人员加随身工具的合重。推荐额定载荷为：</w:t>
      </w:r>
    </w:p>
    <w:p w14:paraId="535B51B8">
      <w:pPr>
        <w:pStyle w:val="61"/>
        <w:rPr>
          <w:rFonts w:hint="eastAsia"/>
          <w:lang w:val="en-US" w:eastAsia="zh-CN"/>
        </w:rPr>
      </w:pPr>
      <w:r>
        <w:rPr>
          <w:rFonts w:hint="eastAsia"/>
          <w:lang w:val="en-US" w:eastAsia="zh-CN"/>
        </w:rPr>
        <w:t>——A类（绝缘硬梯）：≥1500 N；</w:t>
      </w:r>
    </w:p>
    <w:p w14:paraId="10B456C7">
      <w:pPr>
        <w:pStyle w:val="61"/>
        <w:rPr>
          <w:rFonts w:hint="eastAsia"/>
          <w:lang w:val="en-US" w:eastAsia="zh-CN"/>
        </w:rPr>
      </w:pPr>
      <w:r>
        <w:rPr>
          <w:rFonts w:hint="eastAsia"/>
          <w:lang w:val="en-US" w:eastAsia="zh-CN"/>
        </w:rPr>
        <w:t>——B类（绝缘伸缩梯）：≥1500 N；</w:t>
      </w:r>
    </w:p>
    <w:p w14:paraId="7B04C7DB">
      <w:pPr>
        <w:pStyle w:val="61"/>
        <w:rPr>
          <w:rFonts w:hint="eastAsia"/>
          <w:lang w:val="en-US" w:eastAsia="zh-CN"/>
        </w:rPr>
      </w:pPr>
      <w:r>
        <w:rPr>
          <w:rFonts w:hint="eastAsia"/>
          <w:lang w:val="en-US" w:eastAsia="zh-CN"/>
        </w:rPr>
        <w:t>——C类（绝缘软梯）：≥1000 N。</w:t>
      </w:r>
    </w:p>
    <w:p w14:paraId="5297467E">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5.5.2 静负荷强度</w:t>
      </w:r>
    </w:p>
    <w:p w14:paraId="7B823835">
      <w:pPr>
        <w:pStyle w:val="61"/>
        <w:bidi w:val="0"/>
        <w:rPr>
          <w:rFonts w:hint="eastAsia"/>
          <w:lang w:val="en-US" w:eastAsia="zh-CN"/>
        </w:rPr>
      </w:pPr>
      <w:r>
        <w:rPr>
          <w:rFonts w:hint="eastAsia"/>
          <w:lang w:val="en-US" w:eastAsia="zh-CN"/>
        </w:rPr>
        <w:t>以2倍额定载荷（即安全系数≥2）作为静负荷试验的加载值，均匀加于梯具中央踏档中部，持续5 min，试件不应出现裂纹、永久变形或断裂。对于人字梯及折梯，还应进行抗压试验及侧面稳定性加载。</w:t>
      </w:r>
    </w:p>
    <w:p w14:paraId="208B934D">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5.5.3 动负荷强度</w:t>
      </w:r>
    </w:p>
    <w:p w14:paraId="7905A945">
      <w:pPr>
        <w:pStyle w:val="61"/>
        <w:bidi w:val="0"/>
        <w:rPr>
          <w:rFonts w:hint="eastAsia"/>
          <w:lang w:val="en-US" w:eastAsia="zh-CN"/>
        </w:rPr>
      </w:pPr>
      <w:r>
        <w:rPr>
          <w:rFonts w:hint="eastAsia"/>
          <w:lang w:val="en-US" w:eastAsia="zh-CN"/>
        </w:rPr>
        <w:t>以1.5倍额定载荷作为动负荷试验加载值，进行升降或冲击操作，试验后梯具应无永久变形、无可见损伤、各锁止机构依然可靠。</w:t>
      </w:r>
    </w:p>
    <w:p w14:paraId="489DF25C">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5.5.4 横档强度</w:t>
      </w:r>
    </w:p>
    <w:p w14:paraId="47DCFA42">
      <w:pPr>
        <w:pStyle w:val="61"/>
        <w:bidi w:val="0"/>
        <w:rPr>
          <w:rFonts w:hint="eastAsia"/>
          <w:lang w:val="en-US" w:eastAsia="zh-CN"/>
        </w:rPr>
      </w:pPr>
      <w:r>
        <w:rPr>
          <w:rFonts w:hint="eastAsia"/>
          <w:lang w:val="en-US" w:eastAsia="zh-CN"/>
        </w:rPr>
        <w:t>将踏档按工作状态安装于梯框上，对单个踏档中部施加2倍的额定载荷（但最低不小于2000 N），载荷宽度100 mm，持续5 min，踏档无破裂、无变形、无松脱。</w:t>
      </w:r>
    </w:p>
    <w:p w14:paraId="03378DE0">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5.5.5 横档扭力试验</w:t>
      </w:r>
    </w:p>
    <w:p w14:paraId="6D660F3F">
      <w:pPr>
        <w:pStyle w:val="61"/>
        <w:bidi w:val="0"/>
        <w:rPr>
          <w:rFonts w:hint="eastAsia"/>
          <w:lang w:val="en-US" w:eastAsia="zh-CN"/>
        </w:rPr>
      </w:pPr>
      <w:r>
        <w:rPr>
          <w:rFonts w:hint="eastAsia"/>
          <w:lang w:val="en-US" w:eastAsia="zh-CN"/>
        </w:rPr>
        <w:t>在完全伸展的梯子上，对接近中央位置的踏档施加纵向载荷至2600 N（该载荷须对称分配给踏档两侧），加载稳定后保持1 min，卸载后检查踏档与梯框是否分离或出现单侧过度变形。</w:t>
      </w:r>
    </w:p>
    <w:p w14:paraId="4A55AD57">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5.5.6 稳定性要求（仅人字梯、折梯）</w:t>
      </w:r>
    </w:p>
    <w:p w14:paraId="42D4891B">
      <w:pPr>
        <w:pStyle w:val="61"/>
        <w:bidi w:val="0"/>
        <w:rPr>
          <w:rFonts w:hint="eastAsia"/>
          <w:lang w:val="en-US" w:eastAsia="zh-CN"/>
        </w:rPr>
      </w:pPr>
      <w:r>
        <w:rPr>
          <w:rFonts w:hint="eastAsia"/>
          <w:lang w:val="en-US" w:eastAsia="zh-CN"/>
        </w:rPr>
        <w:t>将完全展开的梯子置于平台（带多向滚轮，消除地面摩擦）上，在梯顶施加不小于1.5倍梯子自重的水平推力，梯子不应倾翻。滑移试验应在梯脚处施加侧向水平力，梯脚相对地面位移不应超过200 mm。</w:t>
      </w:r>
    </w:p>
    <w:p w14:paraId="152AC86D">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5.5.7 侧面挠度要求</w:t>
      </w:r>
    </w:p>
    <w:p w14:paraId="6308EC60">
      <w:pPr>
        <w:pStyle w:val="61"/>
        <w:bidi w:val="0"/>
        <w:rPr>
          <w:rFonts w:hint="eastAsia"/>
          <w:lang w:val="en-US" w:eastAsia="zh-CN"/>
        </w:rPr>
      </w:pPr>
      <w:r>
        <w:rPr>
          <w:rFonts w:hint="eastAsia"/>
          <w:lang w:val="en-US" w:eastAsia="zh-CN"/>
        </w:rPr>
        <w:t>对完全展开的单梯或直梯，在梯子纵向长度的中点施加500 N的水平侧向力，测量该点的最大侧向挠度。对于长度≥3 m的梯子，挠度不宜超过梯长的2%。</w:t>
      </w:r>
    </w:p>
    <w:p w14:paraId="67CD43AF">
      <w:pPr>
        <w:pStyle w:val="110"/>
        <w:bidi w:val="0"/>
        <w:rPr>
          <w:rFonts w:hint="eastAsia"/>
          <w:lang w:val="en-US" w:eastAsia="zh-CN"/>
        </w:rPr>
      </w:pPr>
      <w:bookmarkStart w:id="115" w:name="_Toc24759"/>
      <w:r>
        <w:rPr>
          <w:rFonts w:hint="eastAsia"/>
          <w:lang w:val="en-US" w:eastAsia="zh-CN"/>
        </w:rPr>
        <w:t>电气性能要求</w:t>
      </w:r>
      <w:bookmarkEnd w:id="115"/>
    </w:p>
    <w:p w14:paraId="1D7C5B22">
      <w:pPr>
        <w:pStyle w:val="61"/>
        <w:ind w:left="0" w:leftChars="0" w:firstLine="0" w:firstLineChars="0"/>
        <w:rPr>
          <w:rFonts w:hint="eastAsia"/>
          <w:lang w:val="en-US" w:eastAsia="zh-CN"/>
        </w:rPr>
      </w:pPr>
      <w:r>
        <w:rPr>
          <w:rFonts w:hint="eastAsia"/>
          <w:lang w:val="en-US" w:eastAsia="zh-CN"/>
        </w:rPr>
        <w:t>5.6.1 绝缘电阻</w:t>
      </w:r>
    </w:p>
    <w:p w14:paraId="724F3468">
      <w:pPr>
        <w:pStyle w:val="61"/>
        <w:rPr>
          <w:rFonts w:hint="eastAsia"/>
          <w:lang w:val="en-US" w:eastAsia="zh-CN"/>
        </w:rPr>
      </w:pPr>
      <w:r>
        <w:rPr>
          <w:rFonts w:hint="eastAsia"/>
          <w:lang w:val="en-US" w:eastAsia="zh-CN"/>
        </w:rPr>
        <w:t>绝缘梯的有效绝缘部分在干燥状态下的绝缘电阻不应低于700 MΩ（用2500 V兆欧表测量）。</w:t>
      </w:r>
    </w:p>
    <w:p w14:paraId="4A7D30F0">
      <w:pPr>
        <w:pStyle w:val="61"/>
        <w:ind w:left="0" w:leftChars="0" w:firstLine="0" w:firstLineChars="0"/>
        <w:rPr>
          <w:rFonts w:hint="eastAsia"/>
          <w:lang w:val="en-US" w:eastAsia="zh-CN"/>
        </w:rPr>
      </w:pPr>
      <w:r>
        <w:rPr>
          <w:rFonts w:hint="eastAsia"/>
          <w:lang w:val="en-US" w:eastAsia="zh-CN"/>
        </w:rPr>
        <w:t>5.6.2 工频耐压</w:t>
      </w:r>
    </w:p>
    <w:p w14:paraId="3606F09A">
      <w:pPr>
        <w:pStyle w:val="61"/>
        <w:rPr>
          <w:rFonts w:hint="eastAsia"/>
          <w:lang w:val="en-US" w:eastAsia="zh-CN"/>
        </w:rPr>
      </w:pPr>
      <w:r>
        <w:rPr>
          <w:rFonts w:hint="eastAsia"/>
          <w:lang w:val="en-US" w:eastAsia="zh-CN"/>
        </w:rPr>
        <w:t>绝缘梯应能满足GB/T 17620规定的工频耐压试验，试验中不应发生击穿、表面闪络或异常发热。</w:t>
      </w:r>
    </w:p>
    <w:p w14:paraId="0F66AC53">
      <w:pPr>
        <w:pStyle w:val="61"/>
        <w:ind w:left="0" w:leftChars="0" w:firstLine="0" w:firstLineChars="0"/>
        <w:rPr>
          <w:rFonts w:hint="eastAsia"/>
          <w:lang w:val="en-US" w:eastAsia="zh-CN"/>
        </w:rPr>
      </w:pPr>
      <w:r>
        <w:rPr>
          <w:rFonts w:hint="eastAsia"/>
          <w:lang w:val="en-US" w:eastAsia="zh-CN"/>
        </w:rPr>
        <w:t>5.6.3 操作冲击耐压（仅330 kV及以上）</w:t>
      </w:r>
    </w:p>
    <w:p w14:paraId="18E504DA">
      <w:pPr>
        <w:pStyle w:val="61"/>
        <w:rPr>
          <w:rFonts w:hint="eastAsia"/>
          <w:lang w:val="en-US" w:eastAsia="zh-CN"/>
        </w:rPr>
      </w:pPr>
      <w:r>
        <w:rPr>
          <w:rFonts w:hint="eastAsia"/>
          <w:lang w:val="en-US" w:eastAsia="zh-CN"/>
        </w:rPr>
        <w:t>对于额定电压330 kV及以上的绝缘梯，还应进行15次操作冲击耐压试验，试验值参见GB/T 17620，试验中不应出现沿面击穿或闪络。</w:t>
      </w:r>
    </w:p>
    <w:p w14:paraId="2718DAD3">
      <w:pPr>
        <w:pStyle w:val="61"/>
        <w:ind w:left="0" w:leftChars="0" w:firstLine="0" w:firstLineChars="0"/>
        <w:rPr>
          <w:rFonts w:hint="eastAsia"/>
          <w:lang w:val="en-US" w:eastAsia="zh-CN"/>
        </w:rPr>
      </w:pPr>
      <w:r>
        <w:rPr>
          <w:rFonts w:hint="eastAsia"/>
          <w:lang w:val="en-US" w:eastAsia="zh-CN"/>
        </w:rPr>
        <w:t>5.6.4 电气预防性试验（使用中周期性试验）</w:t>
      </w:r>
    </w:p>
    <w:p w14:paraId="16C75F32">
      <w:pPr>
        <w:pStyle w:val="61"/>
        <w:rPr>
          <w:rFonts w:hint="eastAsia"/>
          <w:lang w:val="en-US" w:eastAsia="zh-CN"/>
        </w:rPr>
      </w:pPr>
      <w:r>
        <w:rPr>
          <w:rFonts w:hint="eastAsia"/>
          <w:lang w:val="en-US" w:eastAsia="zh-CN"/>
        </w:rPr>
        <w:t>使用中的绝缘梯每年应进行一次电气预防性试验，工频耐压值为型式试验的约70%左右，应按照DL/T 976及DL/T 1209.1的要求执行。试验电压值应符合GB/T 17620的相关规定。</w:t>
      </w:r>
    </w:p>
    <w:p w14:paraId="27FE23A5">
      <w:pPr>
        <w:pStyle w:val="110"/>
        <w:bidi w:val="0"/>
        <w:rPr>
          <w:rFonts w:hint="eastAsia"/>
          <w:lang w:val="en-US" w:eastAsia="zh-CN"/>
        </w:rPr>
      </w:pPr>
      <w:bookmarkStart w:id="116" w:name="_Toc8972"/>
      <w:r>
        <w:rPr>
          <w:rFonts w:hint="eastAsia"/>
          <w:lang w:val="en-US" w:eastAsia="zh-CN"/>
        </w:rPr>
        <w:t>高低温性能</w:t>
      </w:r>
      <w:bookmarkEnd w:id="116"/>
    </w:p>
    <w:p w14:paraId="77D9908F">
      <w:pPr>
        <w:pStyle w:val="61"/>
        <w:ind w:left="0" w:leftChars="0" w:firstLine="0" w:firstLineChars="0"/>
        <w:rPr>
          <w:rFonts w:hint="eastAsia"/>
          <w:lang w:val="en-US" w:eastAsia="zh-CN"/>
        </w:rPr>
      </w:pPr>
      <w:r>
        <w:rPr>
          <w:rFonts w:hint="eastAsia"/>
          <w:lang w:val="en-US" w:eastAsia="zh-CN"/>
        </w:rPr>
        <w:t>5.7.1 耐高温</w:t>
      </w:r>
    </w:p>
    <w:p w14:paraId="1B846207">
      <w:pPr>
        <w:pStyle w:val="61"/>
        <w:rPr>
          <w:rFonts w:hint="eastAsia"/>
          <w:lang w:val="en-US" w:eastAsia="zh-CN"/>
        </w:rPr>
      </w:pPr>
      <w:r>
        <w:rPr>
          <w:rFonts w:hint="eastAsia"/>
          <w:lang w:val="en-US" w:eastAsia="zh-CN"/>
        </w:rPr>
        <w:t>将绝缘梯（或试样）放置于（60±2）℃的高温箱中保持2 h，取出后在5 min内按5.5.2进行静负荷试验并满足其要求。</w:t>
      </w:r>
    </w:p>
    <w:p w14:paraId="5BE61D98">
      <w:pPr>
        <w:pStyle w:val="61"/>
        <w:ind w:left="0" w:leftChars="0" w:firstLine="0" w:firstLineChars="0"/>
        <w:rPr>
          <w:rFonts w:hint="eastAsia"/>
          <w:lang w:val="en-US" w:eastAsia="zh-CN"/>
        </w:rPr>
      </w:pPr>
      <w:r>
        <w:rPr>
          <w:rFonts w:hint="eastAsia"/>
          <w:lang w:val="en-US" w:eastAsia="zh-CN"/>
        </w:rPr>
        <w:t>5.7.2 耐低温</w:t>
      </w:r>
    </w:p>
    <w:p w14:paraId="389DD169">
      <w:pPr>
        <w:pStyle w:val="61"/>
        <w:rPr>
          <w:rFonts w:hint="eastAsia"/>
          <w:lang w:val="en-US" w:eastAsia="zh-CN"/>
        </w:rPr>
      </w:pPr>
      <w:r>
        <w:rPr>
          <w:rFonts w:hint="eastAsia"/>
          <w:lang w:val="en-US" w:eastAsia="zh-CN"/>
        </w:rPr>
        <w:t>将绝缘梯（或试样）放置于（-40±2）℃的冷冻箱中保持2 h，取出后在5 min内进行跌落试验及静负荷试验，结果应满足本文件5.5.2及5.5.3的相关要求。</w:t>
      </w:r>
    </w:p>
    <w:p w14:paraId="35EC5347">
      <w:pPr>
        <w:pStyle w:val="110"/>
        <w:bidi w:val="0"/>
        <w:rPr>
          <w:rFonts w:hint="eastAsia"/>
          <w:lang w:val="en-US" w:eastAsia="zh-CN"/>
        </w:rPr>
      </w:pPr>
      <w:bookmarkStart w:id="117" w:name="_Toc27133"/>
      <w:r>
        <w:rPr>
          <w:rFonts w:hint="eastAsia"/>
          <w:lang w:val="en-US" w:eastAsia="zh-CN"/>
        </w:rPr>
        <w:t>老化性能</w:t>
      </w:r>
      <w:bookmarkEnd w:id="117"/>
    </w:p>
    <w:p w14:paraId="2F501E96">
      <w:pPr>
        <w:pStyle w:val="61"/>
        <w:rPr>
          <w:rFonts w:hint="eastAsia"/>
          <w:lang w:val="en-US" w:eastAsia="zh-CN"/>
        </w:rPr>
      </w:pPr>
      <w:r>
        <w:rPr>
          <w:rFonts w:hint="eastAsia"/>
          <w:lang w:val="en-US" w:eastAsia="zh-CN"/>
        </w:rPr>
        <w:t>按DL/T 1209.1中第5.6条进行加速老化试验，老化后的电气和机械性能应仍满足本文件5.5及5.6的要求。</w:t>
      </w:r>
    </w:p>
    <w:p w14:paraId="15C8CB65">
      <w:pPr>
        <w:pStyle w:val="110"/>
        <w:bidi w:val="0"/>
        <w:rPr>
          <w:rFonts w:hint="eastAsia"/>
          <w:lang w:val="en-US" w:eastAsia="zh-CN"/>
        </w:rPr>
      </w:pPr>
      <w:bookmarkStart w:id="118" w:name="_Toc1739"/>
      <w:r>
        <w:rPr>
          <w:rFonts w:hint="eastAsia"/>
          <w:lang w:val="en-US" w:eastAsia="zh-CN"/>
        </w:rPr>
        <w:t>金属件防锈</w:t>
      </w:r>
      <w:bookmarkEnd w:id="118"/>
    </w:p>
    <w:p w14:paraId="63DF7750">
      <w:pPr>
        <w:pStyle w:val="61"/>
        <w:rPr>
          <w:rFonts w:hint="eastAsia"/>
          <w:lang w:val="en-US" w:eastAsia="zh-CN"/>
        </w:rPr>
      </w:pPr>
      <w:r>
        <w:rPr>
          <w:rFonts w:hint="eastAsia"/>
          <w:lang w:val="en-US" w:eastAsia="zh-CN"/>
        </w:rPr>
        <w:t>梯具上的金属连接件（如铆钉、销轴、铰链）、锁止机构、弹簧等均应经过防锈/防蚀处理（镀锌、达克罗、不锈钢等）。</w:t>
      </w:r>
    </w:p>
    <w:p w14:paraId="257BB978">
      <w:pPr>
        <w:pStyle w:val="109"/>
        <w:bidi w:val="0"/>
        <w:rPr>
          <w:rFonts w:hint="eastAsia"/>
          <w:lang w:val="en-US" w:eastAsia="zh-CN"/>
        </w:rPr>
      </w:pPr>
      <w:bookmarkStart w:id="119" w:name="_Toc18739"/>
      <w:r>
        <w:rPr>
          <w:rFonts w:hint="eastAsia"/>
          <w:lang w:val="en-US" w:eastAsia="zh-CN"/>
        </w:rPr>
        <w:t>试验方法</w:t>
      </w:r>
      <w:bookmarkEnd w:id="119"/>
    </w:p>
    <w:p w14:paraId="0A938981">
      <w:pPr>
        <w:pStyle w:val="110"/>
        <w:bidi w:val="0"/>
        <w:rPr>
          <w:rFonts w:hint="eastAsia"/>
          <w:lang w:val="en-US" w:eastAsia="zh-CN"/>
        </w:rPr>
      </w:pPr>
      <w:bookmarkStart w:id="120" w:name="_Toc11896"/>
      <w:r>
        <w:rPr>
          <w:rFonts w:hint="eastAsia"/>
          <w:lang w:val="en-US" w:eastAsia="zh-CN"/>
        </w:rPr>
        <w:t>外观、结构检查</w:t>
      </w:r>
      <w:bookmarkEnd w:id="120"/>
    </w:p>
    <w:p w14:paraId="45BE7AEE">
      <w:pPr>
        <w:pStyle w:val="61"/>
        <w:ind w:left="0" w:leftChars="0" w:firstLine="420" w:firstLineChars="200"/>
        <w:rPr>
          <w:rFonts w:hint="eastAsia"/>
          <w:lang w:val="en-US" w:eastAsia="zh-CN"/>
        </w:rPr>
      </w:pPr>
      <w:r>
        <w:rPr>
          <w:rFonts w:hint="eastAsia"/>
          <w:lang w:val="en-US" w:eastAsia="zh-CN"/>
        </w:rPr>
        <w:t>用目测法检查绝缘梯外表是否有裂纹、气泡、分层、杂质及机械损伤。</w:t>
      </w:r>
    </w:p>
    <w:p w14:paraId="58CC6136">
      <w:pPr>
        <w:pStyle w:val="110"/>
        <w:bidi w:val="0"/>
        <w:rPr>
          <w:rFonts w:hint="eastAsia"/>
          <w:lang w:val="en-US" w:eastAsia="zh-CN"/>
        </w:rPr>
      </w:pPr>
      <w:bookmarkStart w:id="121" w:name="_Toc21602"/>
      <w:r>
        <w:rPr>
          <w:rFonts w:hint="eastAsia"/>
          <w:lang w:val="en-US" w:eastAsia="zh-CN"/>
        </w:rPr>
        <w:t>尺寸与公差检查</w:t>
      </w:r>
      <w:bookmarkEnd w:id="121"/>
    </w:p>
    <w:p w14:paraId="0AD857F0">
      <w:pPr>
        <w:pStyle w:val="61"/>
        <w:ind w:left="0" w:leftChars="0" w:firstLine="420" w:firstLineChars="200"/>
        <w:rPr>
          <w:rFonts w:hint="eastAsia"/>
          <w:lang w:val="en-US" w:eastAsia="zh-CN"/>
        </w:rPr>
      </w:pPr>
      <w:r>
        <w:rPr>
          <w:rFonts w:hint="eastAsia"/>
          <w:lang w:val="en-US" w:eastAsia="zh-CN"/>
        </w:rPr>
        <w:t>使用游标卡尺、钢卷尺、万能角度尺等量具测量梯子长度、横档间距、梯框内宽和接触角度，其尺寸偏差应符合设计要求。</w:t>
      </w:r>
    </w:p>
    <w:p w14:paraId="609569DF">
      <w:pPr>
        <w:pStyle w:val="110"/>
        <w:bidi w:val="0"/>
        <w:rPr>
          <w:rFonts w:hint="eastAsia"/>
          <w:lang w:val="en-US" w:eastAsia="zh-CN"/>
        </w:rPr>
      </w:pPr>
      <w:bookmarkStart w:id="122" w:name="_Toc4073"/>
      <w:r>
        <w:rPr>
          <w:rFonts w:hint="eastAsia"/>
          <w:lang w:val="en-US" w:eastAsia="zh-CN"/>
        </w:rPr>
        <w:t>机械性能试验</w:t>
      </w:r>
      <w:bookmarkEnd w:id="122"/>
    </w:p>
    <w:p w14:paraId="75694276">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6.3.1 静负荷试验</w:t>
      </w:r>
    </w:p>
    <w:p w14:paraId="1BC54A1F">
      <w:pPr>
        <w:pStyle w:val="61"/>
        <w:bidi w:val="0"/>
        <w:rPr>
          <w:rFonts w:hint="default"/>
          <w:lang w:val="en-US" w:eastAsia="zh-CN"/>
        </w:rPr>
      </w:pPr>
      <w:r>
        <w:rPr>
          <w:rFonts w:hint="eastAsia"/>
          <w:lang w:val="en-US" w:eastAsia="zh-CN"/>
        </w:rPr>
        <w:t>静负荷试验按DL/T 1209.1及相关试验导则进行:</w:t>
      </w:r>
    </w:p>
    <w:p w14:paraId="2E571A00">
      <w:pPr>
        <w:pStyle w:val="61"/>
        <w:bidi w:val="0"/>
        <w:rPr>
          <w:rFonts w:hint="eastAsia"/>
          <w:lang w:val="en-US" w:eastAsia="zh-CN"/>
        </w:rPr>
      </w:pPr>
      <w:r>
        <w:rPr>
          <w:rFonts w:hint="eastAsia"/>
          <w:lang w:val="en-US" w:eastAsia="zh-CN"/>
        </w:rPr>
        <w:t>a) 将完全展开的绝缘梯按工作状态放置于水平地面上（梯脚着地，倾斜角约为（75±2）°）。</w:t>
      </w:r>
    </w:p>
    <w:p w14:paraId="6417AFEF">
      <w:pPr>
        <w:pStyle w:val="61"/>
        <w:bidi w:val="0"/>
        <w:rPr>
          <w:rFonts w:hint="eastAsia"/>
          <w:lang w:val="en-US" w:eastAsia="zh-CN"/>
        </w:rPr>
      </w:pPr>
      <w:r>
        <w:rPr>
          <w:rFonts w:hint="eastAsia"/>
          <w:lang w:val="en-US" w:eastAsia="zh-CN"/>
        </w:rPr>
        <w:t>b) 在梯长1/2处的踏档中部，通过加载板（宽100 mm）均匀施加静载荷，加载值按5.5.2确定。</w:t>
      </w:r>
    </w:p>
    <w:p w14:paraId="4BCD16C9">
      <w:pPr>
        <w:pStyle w:val="61"/>
        <w:bidi w:val="0"/>
        <w:rPr>
          <w:rFonts w:hint="eastAsia"/>
          <w:lang w:val="en-US" w:eastAsia="zh-CN"/>
        </w:rPr>
      </w:pPr>
      <w:r>
        <w:rPr>
          <w:rFonts w:hint="eastAsia"/>
          <w:lang w:val="en-US" w:eastAsia="zh-CN"/>
        </w:rPr>
        <w:t>c) 加载后持续5 min，每20 s记录一次挠度变化，5 min后卸载，检查梯具整体及各部件（含锁止器、铰链）是否有断裂、明显的塑性变形、连接松动等。</w:t>
      </w:r>
    </w:p>
    <w:p w14:paraId="38296ACD">
      <w:pPr>
        <w:pStyle w:val="61"/>
        <w:bidi w:val="0"/>
        <w:rPr>
          <w:rFonts w:hint="eastAsia"/>
          <w:lang w:val="en-US" w:eastAsia="zh-CN"/>
        </w:rPr>
      </w:pPr>
      <w:r>
        <w:rPr>
          <w:rFonts w:hint="eastAsia"/>
          <w:lang w:val="en-US" w:eastAsia="zh-CN"/>
        </w:rPr>
        <w:t>d) 若5 min后卸载变形完全恢复且无肉眼可见损伤，判定为合格。</w:t>
      </w:r>
    </w:p>
    <w:p w14:paraId="788B4BD3">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6.3.2 动负荷试验</w:t>
      </w:r>
    </w:p>
    <w:p w14:paraId="163F5070">
      <w:pPr>
        <w:pStyle w:val="61"/>
        <w:bidi w:val="0"/>
        <w:rPr>
          <w:rFonts w:hint="default"/>
          <w:lang w:val="en-US" w:eastAsia="zh-CN"/>
        </w:rPr>
      </w:pPr>
      <w:r>
        <w:rPr>
          <w:rFonts w:hint="eastAsia"/>
          <w:lang w:val="en-US" w:eastAsia="zh-CN"/>
        </w:rPr>
        <w:t>动负荷试验按DL/T 976进行:</w:t>
      </w:r>
    </w:p>
    <w:p w14:paraId="3AB58612">
      <w:pPr>
        <w:pStyle w:val="61"/>
        <w:bidi w:val="0"/>
        <w:rPr>
          <w:rFonts w:hint="eastAsia"/>
          <w:lang w:val="en-US" w:eastAsia="zh-CN"/>
        </w:rPr>
      </w:pPr>
      <w:r>
        <w:rPr>
          <w:rFonts w:hint="eastAsia"/>
          <w:lang w:val="en-US" w:eastAsia="zh-CN"/>
        </w:rPr>
        <w:t>a) 将梯子按5.5.3规定加载（1.5倍额定载荷），模拟作业人员双脚起落或短时悬吊动作。</w:t>
      </w:r>
    </w:p>
    <w:p w14:paraId="0ED0214C">
      <w:pPr>
        <w:pStyle w:val="61"/>
        <w:bidi w:val="0"/>
        <w:rPr>
          <w:rFonts w:hint="eastAsia"/>
          <w:lang w:val="en-US" w:eastAsia="zh-CN"/>
        </w:rPr>
      </w:pPr>
      <w:r>
        <w:rPr>
          <w:rFonts w:hint="eastAsia"/>
          <w:lang w:val="en-US" w:eastAsia="zh-CN"/>
        </w:rPr>
        <w:t>b) 动荷冲击后，检查梯子各连接部件、锁止器及踏档的牢固性，确认无松动和裂纹。</w:t>
      </w:r>
    </w:p>
    <w:p w14:paraId="7B152BC0">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6.3.3 横档强度试验</w:t>
      </w:r>
    </w:p>
    <w:p w14:paraId="21400946">
      <w:pPr>
        <w:pStyle w:val="61"/>
        <w:bidi w:val="0"/>
        <w:rPr>
          <w:rFonts w:hint="eastAsia"/>
          <w:lang w:val="en-US" w:eastAsia="zh-CN"/>
        </w:rPr>
      </w:pPr>
      <w:r>
        <w:rPr>
          <w:rFonts w:hint="eastAsia"/>
          <w:lang w:val="en-US" w:eastAsia="zh-CN"/>
        </w:rPr>
        <w:t>横档强度试验按GB 17889.2的要求进行:</w:t>
      </w:r>
    </w:p>
    <w:p w14:paraId="6F5F48BD">
      <w:pPr>
        <w:pStyle w:val="61"/>
        <w:bidi w:val="0"/>
        <w:rPr>
          <w:rFonts w:hint="eastAsia"/>
          <w:lang w:val="en-US" w:eastAsia="zh-CN"/>
        </w:rPr>
      </w:pPr>
      <w:r>
        <w:rPr>
          <w:rFonts w:hint="eastAsia"/>
          <w:lang w:val="en-US" w:eastAsia="zh-CN"/>
        </w:rPr>
        <w:t>a) 选择靠近梯子中央的一个踏档作为试样。通过加载块（宽度100 mm），沿垂直踏档的方向平稳加载至2000 N（或2倍额定载荷，取高者），保持5 min。</w:t>
      </w:r>
    </w:p>
    <w:p w14:paraId="1986F3AC">
      <w:pPr>
        <w:pStyle w:val="61"/>
        <w:bidi w:val="0"/>
        <w:rPr>
          <w:rFonts w:hint="eastAsia"/>
          <w:lang w:val="en-US" w:eastAsia="zh-CN"/>
        </w:rPr>
      </w:pPr>
      <w:r>
        <w:rPr>
          <w:rFonts w:hint="eastAsia"/>
          <w:lang w:val="en-US" w:eastAsia="zh-CN"/>
        </w:rPr>
        <w:t>b) 卸载后检查踏档与梯框连接处的脱开情况、踏档自身裂纹及永久变形。若未脱开且无裂纹，判定为合格。</w:t>
      </w:r>
    </w:p>
    <w:p w14:paraId="008B8142">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6.3.4 横档扭转强度试验</w:t>
      </w:r>
    </w:p>
    <w:p w14:paraId="0C4EC66A">
      <w:pPr>
        <w:pStyle w:val="61"/>
        <w:bidi w:val="0"/>
        <w:rPr>
          <w:rFonts w:hint="default"/>
          <w:lang w:val="en-US" w:eastAsia="zh-CN"/>
        </w:rPr>
      </w:pPr>
      <w:r>
        <w:rPr>
          <w:rFonts w:hint="eastAsia"/>
          <w:lang w:val="en-US" w:eastAsia="zh-CN"/>
        </w:rPr>
        <w:t>横档扭转强度试验按本文件5.5.5要求进行：</w:t>
      </w:r>
    </w:p>
    <w:p w14:paraId="0F591B09">
      <w:pPr>
        <w:pStyle w:val="61"/>
        <w:bidi w:val="0"/>
        <w:rPr>
          <w:rFonts w:hint="eastAsia"/>
          <w:lang w:val="en-US" w:eastAsia="zh-CN"/>
        </w:rPr>
      </w:pPr>
      <w:r>
        <w:rPr>
          <w:rFonts w:hint="eastAsia"/>
          <w:lang w:val="en-US" w:eastAsia="zh-CN"/>
        </w:rPr>
        <w:t>a) 在梯子完全展开状态下，用液压或机械加载装置从沿踏档纵向方向（即拉出方向）加载至2600 N，该载荷应均匀分布在踏档两侧与梯框的连接处。</w:t>
      </w:r>
    </w:p>
    <w:p w14:paraId="2EBEF708">
      <w:pPr>
        <w:pStyle w:val="61"/>
        <w:bidi w:val="0"/>
        <w:rPr>
          <w:rFonts w:hint="eastAsia"/>
          <w:lang w:val="en-US" w:eastAsia="zh-CN"/>
        </w:rPr>
      </w:pPr>
      <w:r>
        <w:rPr>
          <w:rFonts w:hint="eastAsia"/>
          <w:lang w:val="en-US" w:eastAsia="zh-CN"/>
        </w:rPr>
        <w:t>b) 加载稳定后保持1 min，卸载后检查踏档与梯框是否分离或出现单侧过度变形。</w:t>
      </w:r>
    </w:p>
    <w:p w14:paraId="755FF1D0">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6.3.5 稳定性及滑移试验</w:t>
      </w:r>
    </w:p>
    <w:p w14:paraId="5A3F4BAC">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6.3.5.1 稳定性试验</w:t>
      </w:r>
    </w:p>
    <w:p w14:paraId="282A7E4A">
      <w:pPr>
        <w:pStyle w:val="61"/>
        <w:keepNext w:val="0"/>
        <w:keepLines w:val="0"/>
        <w:pageBreakBefore w:val="0"/>
        <w:widowControl/>
        <w:kinsoku/>
        <w:wordWrap/>
        <w:overflowPunct/>
        <w:topLinePunct w:val="0"/>
        <w:autoSpaceDE w:val="0"/>
        <w:autoSpaceDN w:val="0"/>
        <w:bidi w:val="0"/>
        <w:adjustRightInd/>
        <w:snapToGrid/>
        <w:ind w:firstLine="420" w:firstLineChars="200"/>
        <w:textAlignment w:val="auto"/>
        <w:rPr>
          <w:rFonts w:hint="eastAsia"/>
          <w:lang w:val="en-US" w:eastAsia="zh-CN"/>
        </w:rPr>
      </w:pPr>
      <w:r>
        <w:rPr>
          <w:rFonts w:hint="eastAsia"/>
          <w:lang w:val="en-US" w:eastAsia="zh-CN"/>
        </w:rPr>
        <w:t>按本文件5.5.6要求，将梯子完全展开，梯脚置于多向滚轮平台（消除地面摩擦）。在距梯顶约200 mm处沿梯子对称平面方向缓慢施加水平推力，直至梯子倾翻或推力达到规定值。</w:t>
      </w:r>
    </w:p>
    <w:p w14:paraId="2BC945A7">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6.3.5.2 滑移试验</w:t>
      </w:r>
    </w:p>
    <w:p w14:paraId="535C9714">
      <w:pPr>
        <w:pStyle w:val="61"/>
        <w:keepNext w:val="0"/>
        <w:keepLines w:val="0"/>
        <w:pageBreakBefore w:val="0"/>
        <w:widowControl/>
        <w:kinsoku/>
        <w:wordWrap/>
        <w:overflowPunct/>
        <w:topLinePunct w:val="0"/>
        <w:autoSpaceDE w:val="0"/>
        <w:autoSpaceDN w:val="0"/>
        <w:bidi w:val="0"/>
        <w:adjustRightInd/>
        <w:snapToGrid/>
        <w:ind w:firstLine="420" w:firstLineChars="200"/>
        <w:textAlignment w:val="auto"/>
        <w:rPr>
          <w:rFonts w:hint="eastAsia"/>
          <w:lang w:val="en-US" w:eastAsia="zh-CN"/>
        </w:rPr>
      </w:pPr>
      <w:r>
        <w:rPr>
          <w:rFonts w:hint="eastAsia"/>
          <w:lang w:val="en-US" w:eastAsia="zh-CN"/>
        </w:rPr>
        <w:t>在梯脚处于防滑垫正常接触地面的条件下，从梯脚处施加侧向水平载荷，测量梯脚相对初始位置的水平位移量，限值200 mm。</w:t>
      </w:r>
    </w:p>
    <w:p w14:paraId="224D8C21">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6.3</w:t>
      </w:r>
      <w:bookmarkStart w:id="141" w:name="_GoBack"/>
      <w:bookmarkEnd w:id="141"/>
      <w:r>
        <w:rPr>
          <w:rFonts w:hint="eastAsia"/>
          <w:lang w:val="en-US" w:eastAsia="zh-CN"/>
        </w:rPr>
        <w:t>.6 侧面挠度试验</w:t>
      </w:r>
    </w:p>
    <w:p w14:paraId="67214B80">
      <w:pPr>
        <w:pStyle w:val="61"/>
        <w:keepNext w:val="0"/>
        <w:keepLines w:val="0"/>
        <w:pageBreakBefore w:val="0"/>
        <w:widowControl/>
        <w:kinsoku/>
        <w:wordWrap/>
        <w:overflowPunct/>
        <w:topLinePunct w:val="0"/>
        <w:autoSpaceDE w:val="0"/>
        <w:autoSpaceDN w:val="0"/>
        <w:bidi w:val="0"/>
        <w:adjustRightInd/>
        <w:snapToGrid/>
        <w:ind w:firstLine="420" w:firstLineChars="200"/>
        <w:textAlignment w:val="auto"/>
        <w:rPr>
          <w:rFonts w:hint="eastAsia"/>
          <w:lang w:val="en-US" w:eastAsia="zh-CN"/>
        </w:rPr>
      </w:pPr>
      <w:r>
        <w:rPr>
          <w:rFonts w:hint="eastAsia"/>
          <w:lang w:val="en-US" w:eastAsia="zh-CN"/>
        </w:rPr>
        <w:t>侧面挠度试验方法应按照GB/T 17620的相关规定执行。</w:t>
      </w:r>
    </w:p>
    <w:p w14:paraId="257F317F">
      <w:pPr>
        <w:pStyle w:val="110"/>
        <w:bidi w:val="0"/>
        <w:rPr>
          <w:rFonts w:hint="eastAsia"/>
          <w:lang w:val="en-US" w:eastAsia="zh-CN"/>
        </w:rPr>
      </w:pPr>
      <w:bookmarkStart w:id="123" w:name="_Toc2610"/>
      <w:r>
        <w:rPr>
          <w:rFonts w:hint="eastAsia"/>
          <w:lang w:val="en-US" w:eastAsia="zh-CN"/>
        </w:rPr>
        <w:t>电气性能试验</w:t>
      </w:r>
      <w:bookmarkEnd w:id="123"/>
    </w:p>
    <w:p w14:paraId="2E0A61C6">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6.4.1 绝缘电阻测量</w:t>
      </w:r>
    </w:p>
    <w:p w14:paraId="6B2C8D79">
      <w:pPr>
        <w:pStyle w:val="61"/>
        <w:bidi w:val="0"/>
        <w:rPr>
          <w:rFonts w:hint="eastAsia"/>
          <w:lang w:val="en-US" w:eastAsia="zh-CN"/>
        </w:rPr>
      </w:pPr>
      <w:r>
        <w:rPr>
          <w:rFonts w:hint="eastAsia"/>
          <w:lang w:val="en-US" w:eastAsia="zh-CN"/>
        </w:rPr>
        <w:t>使用2500 V绝缘电阻测试仪，在干燥清洁条件下测量绝缘梯有效绝缘长度部分的绝缘电阻。</w:t>
      </w:r>
    </w:p>
    <w:p w14:paraId="424E4B2B">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6.4.2 工频耐压试验</w:t>
      </w:r>
    </w:p>
    <w:p w14:paraId="0C16B5F7">
      <w:pPr>
        <w:pStyle w:val="61"/>
        <w:bidi w:val="0"/>
        <w:rPr>
          <w:rFonts w:hint="default"/>
          <w:lang w:val="en-US" w:eastAsia="zh-CN"/>
        </w:rPr>
      </w:pPr>
      <w:r>
        <w:rPr>
          <w:rFonts w:hint="eastAsia"/>
          <w:lang w:val="en-US" w:eastAsia="zh-CN"/>
        </w:rPr>
        <w:t>工频耐压试验试验按照GB/T 24344的要求进行:</w:t>
      </w:r>
    </w:p>
    <w:p w14:paraId="38BCAAE2">
      <w:pPr>
        <w:pStyle w:val="61"/>
        <w:bidi w:val="0"/>
        <w:rPr>
          <w:rFonts w:hint="eastAsia"/>
          <w:lang w:val="en-US" w:eastAsia="zh-CN"/>
        </w:rPr>
      </w:pPr>
      <w:r>
        <w:rPr>
          <w:rFonts w:hint="eastAsia"/>
          <w:lang w:val="en-US" w:eastAsia="zh-CN"/>
        </w:rPr>
        <w:t>a) 试验装置包括工频高压试验变压器、电容分压器、保护电阻。</w:t>
      </w:r>
    </w:p>
    <w:p w14:paraId="21543509">
      <w:pPr>
        <w:pStyle w:val="61"/>
        <w:bidi w:val="0"/>
        <w:rPr>
          <w:rFonts w:hint="eastAsia"/>
          <w:lang w:val="en-US" w:eastAsia="zh-CN"/>
        </w:rPr>
      </w:pPr>
      <w:r>
        <w:rPr>
          <w:rFonts w:hint="eastAsia"/>
          <w:lang w:val="en-US" w:eastAsia="zh-CN"/>
        </w:rPr>
        <w:t>b) 在绝缘梯的有效绝缘长度两端缠绕导电箔（宽度不小于50 mm）作为电极，使电压全部施加在有效绝缘长度上。</w:t>
      </w:r>
    </w:p>
    <w:p w14:paraId="6F22B25E">
      <w:pPr>
        <w:pStyle w:val="61"/>
        <w:bidi w:val="0"/>
        <w:rPr>
          <w:rFonts w:hint="eastAsia"/>
          <w:lang w:val="en-US" w:eastAsia="zh-CN"/>
        </w:rPr>
      </w:pPr>
      <w:r>
        <w:rPr>
          <w:rFonts w:hint="eastAsia"/>
          <w:lang w:val="en-US" w:eastAsia="zh-CN"/>
        </w:rPr>
        <w:t>c) 按GB/T 17620规定的电压值均匀升压，在达到规定电压后维持规定时长，以无闪络、无击穿、无局部过热为合格。</w:t>
      </w:r>
    </w:p>
    <w:p w14:paraId="1B7AE76F">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6.4.3 电气预防性试验</w:t>
      </w:r>
    </w:p>
    <w:p w14:paraId="394340A4">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6.4.3.1 试验条件</w:t>
      </w:r>
    </w:p>
    <w:p w14:paraId="6F7B3AF2">
      <w:pPr>
        <w:pStyle w:val="61"/>
        <w:bidi w:val="0"/>
        <w:rPr>
          <w:rFonts w:hint="eastAsia"/>
          <w:lang w:val="en-US" w:eastAsia="zh-CN"/>
        </w:rPr>
      </w:pPr>
      <w:r>
        <w:rPr>
          <w:rFonts w:hint="eastAsia"/>
          <w:lang w:val="en-US" w:eastAsia="zh-CN"/>
        </w:rPr>
        <w:t>温度15 ℃～35 ℃，相对湿度≤80%。</w:t>
      </w:r>
    </w:p>
    <w:p w14:paraId="0D529835">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6.4.3.2 试验按DL/T 976进行，加压方式同6.3.2(c)，试验电压按GB/T 17620的相关规定执行，试验中梯具不击穿、不闪络即为合格。</w:t>
      </w:r>
    </w:p>
    <w:p w14:paraId="4AB8A2F5">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6.4.4 操作冲击耐压试验</w:t>
      </w:r>
    </w:p>
    <w:p w14:paraId="77C5EB42">
      <w:pPr>
        <w:pStyle w:val="61"/>
        <w:bidi w:val="0"/>
        <w:rPr>
          <w:rFonts w:hint="eastAsia"/>
          <w:lang w:val="en-US" w:eastAsia="zh-CN"/>
        </w:rPr>
      </w:pPr>
      <w:r>
        <w:rPr>
          <w:rFonts w:hint="eastAsia"/>
          <w:lang w:val="en-US" w:eastAsia="zh-CN"/>
        </w:rPr>
        <w:t>按GB/T 17620要求，在330 kV及以上等级应做操作冲击耐压试验（15次），电压值GB/T 17620的相关规定执行。</w:t>
      </w:r>
    </w:p>
    <w:p w14:paraId="38068AEF">
      <w:pPr>
        <w:pStyle w:val="110"/>
        <w:bidi w:val="0"/>
        <w:rPr>
          <w:rFonts w:hint="eastAsia"/>
          <w:lang w:val="en-US" w:eastAsia="zh-CN"/>
        </w:rPr>
      </w:pPr>
      <w:bookmarkStart w:id="124" w:name="_Toc13994"/>
      <w:r>
        <w:rPr>
          <w:rFonts w:hint="eastAsia"/>
          <w:lang w:val="en-US" w:eastAsia="zh-CN"/>
        </w:rPr>
        <w:t>高低温试验</w:t>
      </w:r>
      <w:bookmarkEnd w:id="124"/>
    </w:p>
    <w:p w14:paraId="30BF74DD">
      <w:pPr>
        <w:pStyle w:val="61"/>
        <w:rPr>
          <w:rFonts w:hint="eastAsia"/>
          <w:lang w:val="en-US" w:eastAsia="zh-CN"/>
        </w:rPr>
      </w:pPr>
      <w:r>
        <w:rPr>
          <w:rFonts w:hint="eastAsia"/>
          <w:lang w:val="en-US" w:eastAsia="zh-CN"/>
        </w:rPr>
        <w:t>按照GB/T 2423.1和GB/T 2423.2的要求，将试样放入高低温试验箱，分别进行60 ℃/2 h高温环境和-40 ℃/2 h低温环境处理，取出相应时间后（不超过5 min）进行静负荷强度试验。</w:t>
      </w:r>
    </w:p>
    <w:p w14:paraId="7192BE7F">
      <w:pPr>
        <w:pStyle w:val="110"/>
        <w:bidi w:val="0"/>
        <w:rPr>
          <w:rFonts w:hint="eastAsia"/>
          <w:lang w:val="en-US" w:eastAsia="zh-CN"/>
        </w:rPr>
      </w:pPr>
      <w:bookmarkStart w:id="125" w:name="_Toc14718"/>
      <w:r>
        <w:rPr>
          <w:rFonts w:hint="eastAsia"/>
          <w:lang w:val="en-US" w:eastAsia="zh-CN"/>
        </w:rPr>
        <w:t>老化试验</w:t>
      </w:r>
      <w:bookmarkEnd w:id="125"/>
    </w:p>
    <w:p w14:paraId="218EF523">
      <w:pPr>
        <w:pStyle w:val="61"/>
        <w:rPr>
          <w:rFonts w:hint="eastAsia"/>
          <w:lang w:val="en-US" w:eastAsia="zh-CN"/>
        </w:rPr>
      </w:pPr>
      <w:r>
        <w:rPr>
          <w:rFonts w:hint="eastAsia"/>
          <w:lang w:val="en-US" w:eastAsia="zh-CN"/>
        </w:rPr>
        <w:t>按DL/T 1209.1第5.6条规定的方法进行加速热老化或湿热老化，老化后检验电气及机械性能变化幅度。</w:t>
      </w:r>
    </w:p>
    <w:p w14:paraId="1025C38C">
      <w:pPr>
        <w:pStyle w:val="110"/>
        <w:bidi w:val="0"/>
        <w:rPr>
          <w:rFonts w:hint="eastAsia"/>
          <w:lang w:val="en-US" w:eastAsia="zh-CN"/>
        </w:rPr>
      </w:pPr>
      <w:bookmarkStart w:id="126" w:name="_Toc18872"/>
      <w:r>
        <w:rPr>
          <w:rFonts w:hint="eastAsia"/>
          <w:lang w:val="en-US" w:eastAsia="zh-CN"/>
        </w:rPr>
        <w:t>防锈试验</w:t>
      </w:r>
      <w:bookmarkEnd w:id="126"/>
    </w:p>
    <w:p w14:paraId="74A4DA14">
      <w:pPr>
        <w:pStyle w:val="61"/>
        <w:rPr>
          <w:rFonts w:hint="eastAsia"/>
          <w:lang w:val="en-US" w:eastAsia="zh-CN"/>
        </w:rPr>
      </w:pPr>
      <w:r>
        <w:rPr>
          <w:rFonts w:hint="eastAsia"/>
          <w:lang w:val="en-US" w:eastAsia="zh-CN"/>
        </w:rPr>
        <w:t>将金属连接件（包括锁止弹簧）置于（20±5）℃、相对湿度大于90%的恒温恒湿箱中，连续暴露48 h，取出后目测应无明显锈蚀，按照GB/T 10125的相关规定执行。</w:t>
      </w:r>
    </w:p>
    <w:p w14:paraId="60DAAEB0">
      <w:pPr>
        <w:pStyle w:val="109"/>
        <w:bidi w:val="0"/>
        <w:rPr>
          <w:rFonts w:hint="eastAsia"/>
          <w:lang w:val="en-US" w:eastAsia="zh-CN"/>
        </w:rPr>
      </w:pPr>
      <w:bookmarkStart w:id="127" w:name="_Toc31382"/>
      <w:r>
        <w:rPr>
          <w:rFonts w:hint="eastAsia"/>
          <w:lang w:val="en-US" w:eastAsia="zh-CN"/>
        </w:rPr>
        <w:t>检验规则</w:t>
      </w:r>
      <w:bookmarkEnd w:id="127"/>
    </w:p>
    <w:p w14:paraId="3E7025BD">
      <w:pPr>
        <w:pStyle w:val="110"/>
        <w:bidi w:val="0"/>
        <w:rPr>
          <w:rFonts w:hint="eastAsia"/>
          <w:lang w:val="en-US" w:eastAsia="zh-CN"/>
        </w:rPr>
      </w:pPr>
      <w:bookmarkStart w:id="128" w:name="_Toc77"/>
      <w:r>
        <w:rPr>
          <w:rFonts w:hint="eastAsia"/>
          <w:lang w:val="en-US" w:eastAsia="zh-CN"/>
        </w:rPr>
        <w:t>检验分类</w:t>
      </w:r>
      <w:bookmarkEnd w:id="128"/>
    </w:p>
    <w:p w14:paraId="1D9D5081">
      <w:pPr>
        <w:pStyle w:val="61"/>
        <w:rPr>
          <w:rFonts w:hint="eastAsia"/>
          <w:lang w:val="en-US" w:eastAsia="zh-CN"/>
        </w:rPr>
      </w:pPr>
      <w:r>
        <w:rPr>
          <w:rFonts w:hint="eastAsia"/>
          <w:lang w:val="en-US" w:eastAsia="zh-CN"/>
        </w:rPr>
        <w:t>检验分为出厂检验和型式检验。</w:t>
      </w:r>
    </w:p>
    <w:p w14:paraId="116E6465">
      <w:pPr>
        <w:pStyle w:val="110"/>
        <w:bidi w:val="0"/>
        <w:rPr>
          <w:rFonts w:hint="eastAsia"/>
          <w:lang w:val="en-US" w:eastAsia="zh-CN"/>
        </w:rPr>
      </w:pPr>
      <w:bookmarkStart w:id="129" w:name="_Toc12134"/>
      <w:r>
        <w:rPr>
          <w:rFonts w:hint="eastAsia"/>
          <w:lang w:val="en-US" w:eastAsia="zh-CN"/>
        </w:rPr>
        <w:t>出厂检验</w:t>
      </w:r>
      <w:bookmarkEnd w:id="129"/>
    </w:p>
    <w:p w14:paraId="465D18D0">
      <w:pPr>
        <w:pStyle w:val="61"/>
        <w:ind w:firstLine="0" w:firstLineChars="0"/>
        <w:rPr>
          <w:rFonts w:hint="default"/>
          <w:lang w:val="en-US" w:eastAsia="zh-CN"/>
        </w:rPr>
      </w:pPr>
      <w:r>
        <w:rPr>
          <w:rFonts w:hint="eastAsia"/>
          <w:lang w:val="en-US" w:eastAsia="zh-CN"/>
        </w:rPr>
        <w:t>7.2.1 检验要求</w:t>
      </w:r>
    </w:p>
    <w:p w14:paraId="2B2B2C1F">
      <w:pPr>
        <w:pStyle w:val="61"/>
        <w:autoSpaceDE/>
        <w:autoSpaceDN/>
        <w:rPr>
          <w:rFonts w:hint="eastAsia"/>
          <w:lang w:val="en-US" w:eastAsia="zh-CN"/>
        </w:rPr>
      </w:pPr>
      <w:r>
        <w:rPr>
          <w:rFonts w:hint="eastAsia"/>
          <w:lang w:val="en-US" w:eastAsia="zh-CN"/>
        </w:rPr>
        <w:t>每批产品须经制造厂质量检验部门按本标准的规定进行出厂检验，检验合格并附合格证方可出厂。</w:t>
      </w:r>
    </w:p>
    <w:p w14:paraId="181D69E7">
      <w:pPr>
        <w:pStyle w:val="61"/>
        <w:ind w:firstLine="0" w:firstLineChars="0"/>
        <w:rPr>
          <w:rFonts w:hint="eastAsia"/>
          <w:lang w:val="en-US" w:eastAsia="zh-CN"/>
        </w:rPr>
      </w:pPr>
      <w:r>
        <w:rPr>
          <w:rFonts w:hint="eastAsia"/>
          <w:lang w:val="en-US" w:eastAsia="zh-CN"/>
        </w:rPr>
        <w:t>7.2.2 检验项目</w:t>
      </w:r>
    </w:p>
    <w:p w14:paraId="28521F7B">
      <w:pPr>
        <w:pStyle w:val="61"/>
        <w:rPr>
          <w:rFonts w:hint="eastAsia"/>
          <w:lang w:val="en-US" w:eastAsia="zh-CN"/>
        </w:rPr>
      </w:pPr>
      <w:r>
        <w:rPr>
          <w:rFonts w:hint="eastAsia"/>
          <w:lang w:val="en-US" w:eastAsia="zh-CN"/>
        </w:rPr>
        <w:t>出厂检验项目包括：</w:t>
      </w:r>
    </w:p>
    <w:p w14:paraId="07F59C0B">
      <w:pPr>
        <w:pStyle w:val="61"/>
        <w:rPr>
          <w:rFonts w:hint="eastAsia"/>
          <w:lang w:val="en-US" w:eastAsia="zh-CN"/>
        </w:rPr>
      </w:pPr>
      <w:r>
        <w:rPr>
          <w:rFonts w:hint="eastAsia"/>
          <w:lang w:val="en-US" w:eastAsia="zh-CN"/>
        </w:rPr>
        <w:t>a） 外观与结构检查；</w:t>
      </w:r>
    </w:p>
    <w:p w14:paraId="56338C29">
      <w:pPr>
        <w:pStyle w:val="61"/>
        <w:rPr>
          <w:rFonts w:hint="eastAsia"/>
          <w:lang w:val="en-US" w:eastAsia="zh-CN"/>
        </w:rPr>
      </w:pPr>
      <w:r>
        <w:rPr>
          <w:rFonts w:hint="eastAsia"/>
          <w:lang w:val="en-US" w:eastAsia="zh-CN"/>
        </w:rPr>
        <w:t>b） 尺寸检查；</w:t>
      </w:r>
    </w:p>
    <w:p w14:paraId="08C143C0">
      <w:pPr>
        <w:pStyle w:val="61"/>
        <w:rPr>
          <w:rFonts w:hint="eastAsia"/>
          <w:lang w:val="en-US" w:eastAsia="zh-CN"/>
        </w:rPr>
      </w:pPr>
      <w:r>
        <w:rPr>
          <w:rFonts w:hint="eastAsia"/>
          <w:lang w:val="en-US" w:eastAsia="zh-CN"/>
        </w:rPr>
        <w:t>c） 绝缘电阻测量；</w:t>
      </w:r>
    </w:p>
    <w:p w14:paraId="66851A3F">
      <w:pPr>
        <w:pStyle w:val="61"/>
        <w:rPr>
          <w:rFonts w:hint="eastAsia"/>
          <w:lang w:val="en-US" w:eastAsia="zh-CN"/>
        </w:rPr>
      </w:pPr>
      <w:r>
        <w:rPr>
          <w:rFonts w:hint="eastAsia"/>
          <w:lang w:val="en-US" w:eastAsia="zh-CN"/>
        </w:rPr>
        <w:t>d） 静负荷试验；</w:t>
      </w:r>
    </w:p>
    <w:p w14:paraId="33B09457">
      <w:pPr>
        <w:pStyle w:val="61"/>
        <w:rPr>
          <w:rFonts w:hint="eastAsia"/>
          <w:lang w:val="en-US" w:eastAsia="zh-CN"/>
        </w:rPr>
      </w:pPr>
      <w:r>
        <w:rPr>
          <w:rFonts w:hint="eastAsia"/>
          <w:lang w:val="en-US" w:eastAsia="zh-CN"/>
        </w:rPr>
        <w:t>e） 横档强度试验。</w:t>
      </w:r>
    </w:p>
    <w:p w14:paraId="5CA082FE">
      <w:pPr>
        <w:pStyle w:val="61"/>
        <w:ind w:firstLine="0" w:firstLineChars="0"/>
        <w:rPr>
          <w:rFonts w:hint="default"/>
          <w:lang w:val="en-US" w:eastAsia="zh-CN"/>
        </w:rPr>
      </w:pPr>
      <w:r>
        <w:rPr>
          <w:rFonts w:hint="eastAsia"/>
          <w:lang w:val="en-US" w:eastAsia="zh-CN"/>
        </w:rPr>
        <w:t>7.2.3 合格判定</w:t>
      </w:r>
    </w:p>
    <w:p w14:paraId="131E46A7">
      <w:pPr>
        <w:pStyle w:val="61"/>
        <w:autoSpaceDE/>
        <w:autoSpaceDN/>
        <w:rPr>
          <w:rFonts w:hint="eastAsia"/>
          <w:lang w:val="en-US" w:eastAsia="zh-CN"/>
        </w:rPr>
      </w:pPr>
      <w:r>
        <w:rPr>
          <w:rFonts w:hint="eastAsia"/>
          <w:lang w:val="en-US" w:eastAsia="zh-CN"/>
        </w:rPr>
        <w:t>出厂检验为逐件检验。任一项不合格，该产品判定为不合格。</w:t>
      </w:r>
    </w:p>
    <w:p w14:paraId="3AC0FCB0">
      <w:pPr>
        <w:pStyle w:val="110"/>
        <w:bidi w:val="0"/>
        <w:rPr>
          <w:rFonts w:hint="eastAsia"/>
          <w:lang w:val="en-US" w:eastAsia="zh-CN"/>
        </w:rPr>
      </w:pPr>
      <w:bookmarkStart w:id="130" w:name="_Toc1486"/>
      <w:r>
        <w:rPr>
          <w:rFonts w:hint="eastAsia"/>
          <w:lang w:val="en-US" w:eastAsia="zh-CN"/>
        </w:rPr>
        <w:t>型式检验</w:t>
      </w:r>
      <w:bookmarkEnd w:id="130"/>
    </w:p>
    <w:p w14:paraId="6E6CC99A">
      <w:pPr>
        <w:pStyle w:val="61"/>
        <w:ind w:left="0" w:leftChars="0" w:firstLine="0" w:firstLineChars="0"/>
        <w:rPr>
          <w:rFonts w:hint="default" w:eastAsia="宋体"/>
          <w:lang w:val="en-US" w:eastAsia="zh-CN"/>
        </w:rPr>
      </w:pPr>
      <w:r>
        <w:rPr>
          <w:rFonts w:hint="eastAsia"/>
          <w:lang w:val="en-US" w:eastAsia="zh-CN"/>
        </w:rPr>
        <w:t>7.3.1 检验时机</w:t>
      </w:r>
    </w:p>
    <w:p w14:paraId="19E357EF">
      <w:pPr>
        <w:pStyle w:val="61"/>
        <w:rPr>
          <w:rFonts w:hint="eastAsia"/>
          <w:lang w:val="en-US" w:eastAsia="zh-CN"/>
        </w:rPr>
      </w:pPr>
      <w:r>
        <w:rPr>
          <w:rFonts w:hint="eastAsia"/>
          <w:lang w:val="en-US" w:eastAsia="zh-CN"/>
        </w:rPr>
        <w:t>有下列情况之一时，应进行型式检验：</w:t>
      </w:r>
    </w:p>
    <w:p w14:paraId="330F4993">
      <w:pPr>
        <w:pStyle w:val="61"/>
        <w:rPr>
          <w:rFonts w:hint="eastAsia"/>
          <w:lang w:val="en-US" w:eastAsia="zh-CN"/>
        </w:rPr>
      </w:pPr>
      <w:r>
        <w:rPr>
          <w:rFonts w:hint="eastAsia"/>
          <w:lang w:val="en-US" w:eastAsia="zh-CN"/>
        </w:rPr>
        <w:t>a） 新产品或老产品转厂生产的试制定型鉴定；</w:t>
      </w:r>
    </w:p>
    <w:p w14:paraId="439618BE">
      <w:pPr>
        <w:pStyle w:val="61"/>
        <w:rPr>
          <w:rFonts w:hint="eastAsia"/>
          <w:lang w:val="en-US" w:eastAsia="zh-CN"/>
        </w:rPr>
      </w:pPr>
      <w:r>
        <w:rPr>
          <w:rFonts w:hint="eastAsia"/>
          <w:lang w:val="en-US" w:eastAsia="zh-CN"/>
        </w:rPr>
        <w:t>b） 正式生产后，如结构、材料、工艺有较大改变，可能影响产品性能时；</w:t>
      </w:r>
    </w:p>
    <w:p w14:paraId="4DFCAC4C">
      <w:pPr>
        <w:pStyle w:val="61"/>
        <w:rPr>
          <w:rFonts w:hint="eastAsia"/>
          <w:lang w:val="en-US" w:eastAsia="zh-CN"/>
        </w:rPr>
      </w:pPr>
      <w:r>
        <w:rPr>
          <w:rFonts w:hint="eastAsia"/>
          <w:lang w:val="en-US" w:eastAsia="zh-CN"/>
        </w:rPr>
        <w:t>c） 正常生产时，每两年应进行一次；</w:t>
      </w:r>
    </w:p>
    <w:p w14:paraId="2C917F6E">
      <w:pPr>
        <w:pStyle w:val="61"/>
        <w:rPr>
          <w:rFonts w:hint="eastAsia"/>
          <w:lang w:val="en-US" w:eastAsia="zh-CN"/>
        </w:rPr>
      </w:pPr>
      <w:r>
        <w:rPr>
          <w:rFonts w:hint="eastAsia"/>
          <w:lang w:val="en-US" w:eastAsia="zh-CN"/>
        </w:rPr>
        <w:t>d） 产品停产超过一年，恢复生产时；</w:t>
      </w:r>
    </w:p>
    <w:p w14:paraId="295B6162">
      <w:pPr>
        <w:pStyle w:val="61"/>
        <w:rPr>
          <w:rFonts w:hint="eastAsia"/>
          <w:lang w:val="en-US" w:eastAsia="zh-CN"/>
        </w:rPr>
      </w:pPr>
      <w:r>
        <w:rPr>
          <w:rFonts w:hint="eastAsia"/>
          <w:lang w:val="en-US" w:eastAsia="zh-CN"/>
        </w:rPr>
        <w:t>e） 出厂检验结果与上次型式检验有较大差异时；</w:t>
      </w:r>
    </w:p>
    <w:p w14:paraId="284F6597">
      <w:pPr>
        <w:pStyle w:val="61"/>
        <w:ind w:left="0" w:leftChars="0" w:firstLine="0" w:firstLineChars="0"/>
        <w:rPr>
          <w:rFonts w:hint="eastAsia"/>
          <w:lang w:val="en-US" w:eastAsia="zh-CN"/>
        </w:rPr>
      </w:pPr>
      <w:r>
        <w:rPr>
          <w:rFonts w:hint="eastAsia"/>
          <w:lang w:val="en-US" w:eastAsia="zh-CN"/>
        </w:rPr>
        <w:t>7.3.2 型式检验项目为本标准第5章规定的全部技术要求。</w:t>
      </w:r>
    </w:p>
    <w:p w14:paraId="379E1B06">
      <w:pPr>
        <w:pStyle w:val="61"/>
        <w:ind w:left="0" w:leftChars="0" w:firstLine="0" w:firstLineChars="0"/>
        <w:rPr>
          <w:rFonts w:hint="eastAsia"/>
          <w:lang w:val="en-US" w:eastAsia="zh-CN"/>
        </w:rPr>
      </w:pPr>
      <w:r>
        <w:rPr>
          <w:rFonts w:hint="eastAsia"/>
          <w:lang w:val="en-US" w:eastAsia="zh-CN"/>
        </w:rPr>
        <w:t>7.3.3 型式检验的样品应从出厂检验合格的产品中随机抽取。抽样数量：每批不少于3件。如有一件不合格，应加倍抽样复检；复检仍有不合格项，则判定该批产品型式检验不合格。</w:t>
      </w:r>
    </w:p>
    <w:p w14:paraId="4F23F76A">
      <w:pPr>
        <w:pStyle w:val="110"/>
        <w:bidi w:val="0"/>
        <w:rPr>
          <w:rFonts w:hint="eastAsia"/>
          <w:lang w:val="en-US" w:eastAsia="zh-CN"/>
        </w:rPr>
      </w:pPr>
      <w:bookmarkStart w:id="131" w:name="_Toc10792"/>
      <w:r>
        <w:rPr>
          <w:rFonts w:hint="eastAsia"/>
          <w:lang w:val="en-US" w:eastAsia="zh-CN"/>
        </w:rPr>
        <w:t>预防性试验周期</w:t>
      </w:r>
      <w:bookmarkEnd w:id="131"/>
    </w:p>
    <w:p w14:paraId="4277E241">
      <w:pPr>
        <w:pStyle w:val="61"/>
        <w:rPr>
          <w:rFonts w:hint="eastAsia"/>
          <w:lang w:val="en-US" w:eastAsia="zh-CN"/>
        </w:rPr>
      </w:pPr>
      <w:r>
        <w:rPr>
          <w:rFonts w:hint="eastAsia"/>
          <w:lang w:val="en-US" w:eastAsia="zh-CN"/>
        </w:rPr>
        <w:t>电力绝缘梯在投入使用后，应定期进行预防性试验：</w:t>
      </w:r>
    </w:p>
    <w:p w14:paraId="1FBD8E00">
      <w:pPr>
        <w:pStyle w:val="61"/>
        <w:rPr>
          <w:rFonts w:hint="eastAsia"/>
          <w:lang w:val="en-US" w:eastAsia="zh-CN"/>
        </w:rPr>
      </w:pPr>
      <w:r>
        <w:rPr>
          <w:rFonts w:hint="eastAsia"/>
          <w:lang w:val="en-US" w:eastAsia="zh-CN"/>
        </w:rPr>
        <w:t>a） 电气预防性试验：每年一次；</w:t>
      </w:r>
    </w:p>
    <w:p w14:paraId="569249C5">
      <w:pPr>
        <w:pStyle w:val="61"/>
        <w:rPr>
          <w:rFonts w:hint="eastAsia"/>
          <w:lang w:val="en-US" w:eastAsia="zh-CN"/>
        </w:rPr>
      </w:pPr>
      <w:r>
        <w:rPr>
          <w:rFonts w:hint="eastAsia"/>
          <w:lang w:val="en-US" w:eastAsia="zh-CN"/>
        </w:rPr>
        <w:t>b） 检查性耐压试验：每年一次（与电气预防性试验间隔不少于半年）；</w:t>
      </w:r>
    </w:p>
    <w:p w14:paraId="44F5DED7">
      <w:pPr>
        <w:pStyle w:val="61"/>
        <w:rPr>
          <w:rFonts w:hint="eastAsia"/>
          <w:lang w:val="en-US" w:eastAsia="zh-CN"/>
        </w:rPr>
      </w:pPr>
      <w:r>
        <w:rPr>
          <w:rFonts w:hint="eastAsia"/>
          <w:lang w:val="en-US" w:eastAsia="zh-CN"/>
        </w:rPr>
        <w:t>c） 机械强度试验：每两年一次；</w:t>
      </w:r>
    </w:p>
    <w:p w14:paraId="412F700C">
      <w:pPr>
        <w:pStyle w:val="61"/>
        <w:rPr>
          <w:rFonts w:hint="eastAsia"/>
          <w:lang w:val="en-US" w:eastAsia="zh-CN"/>
        </w:rPr>
      </w:pPr>
      <w:r>
        <w:rPr>
          <w:rFonts w:hint="eastAsia"/>
          <w:lang w:val="en-US" w:eastAsia="zh-CN"/>
        </w:rPr>
        <w:t>d） 试验结果不符合标准要求的绝缘梯，应立即停止使用。</w:t>
      </w:r>
    </w:p>
    <w:p w14:paraId="0D14B4D3">
      <w:pPr>
        <w:pStyle w:val="109"/>
        <w:bidi w:val="0"/>
        <w:rPr>
          <w:rFonts w:hint="eastAsia"/>
          <w:lang w:val="en-US" w:eastAsia="zh-CN"/>
        </w:rPr>
      </w:pPr>
      <w:bookmarkStart w:id="132" w:name="_Toc3671"/>
      <w:r>
        <w:rPr>
          <w:rFonts w:hint="eastAsia"/>
          <w:lang w:val="en-US" w:eastAsia="zh-CN"/>
        </w:rPr>
        <w:t>标志、包装、运输和贮存</w:t>
      </w:r>
      <w:bookmarkEnd w:id="132"/>
    </w:p>
    <w:p w14:paraId="62A7BF89">
      <w:pPr>
        <w:pStyle w:val="110"/>
        <w:bidi w:val="0"/>
        <w:rPr>
          <w:rFonts w:hint="eastAsia"/>
          <w:lang w:val="en-US" w:eastAsia="zh-CN"/>
        </w:rPr>
      </w:pPr>
      <w:bookmarkStart w:id="133" w:name="_Toc22084"/>
      <w:r>
        <w:rPr>
          <w:rFonts w:hint="eastAsia"/>
          <w:lang w:val="en-US" w:eastAsia="zh-CN"/>
        </w:rPr>
        <w:t>标志</w:t>
      </w:r>
      <w:bookmarkEnd w:id="133"/>
    </w:p>
    <w:p w14:paraId="4E1308E3">
      <w:pPr>
        <w:pStyle w:val="61"/>
        <w:rPr>
          <w:rFonts w:hint="eastAsia"/>
          <w:lang w:val="en-US" w:eastAsia="zh-CN"/>
        </w:rPr>
      </w:pPr>
      <w:r>
        <w:rPr>
          <w:rFonts w:hint="eastAsia"/>
          <w:lang w:val="en-US" w:eastAsia="zh-CN"/>
        </w:rPr>
        <w:t>每个梯子上应标注下列信息，且标注应清晰、耐久：</w:t>
      </w:r>
    </w:p>
    <w:p w14:paraId="2FDBCD66">
      <w:pPr>
        <w:pStyle w:val="61"/>
        <w:rPr>
          <w:rFonts w:hint="eastAsia"/>
          <w:lang w:val="en-US" w:eastAsia="zh-CN"/>
        </w:rPr>
      </w:pPr>
      <w:r>
        <w:rPr>
          <w:rFonts w:hint="eastAsia"/>
          <w:lang w:val="en-US" w:eastAsia="zh-CN"/>
        </w:rPr>
        <w:t>a） 制造商的名称或商标；</w:t>
      </w:r>
    </w:p>
    <w:p w14:paraId="100C5A68">
      <w:pPr>
        <w:pStyle w:val="61"/>
        <w:rPr>
          <w:rFonts w:hint="eastAsia"/>
          <w:lang w:val="en-US" w:eastAsia="zh-CN"/>
        </w:rPr>
      </w:pPr>
      <w:r>
        <w:rPr>
          <w:rFonts w:hint="eastAsia"/>
          <w:lang w:val="en-US" w:eastAsia="zh-CN"/>
        </w:rPr>
        <w:t>b） 产品名称和型号；</w:t>
      </w:r>
    </w:p>
    <w:p w14:paraId="20EBDEC2">
      <w:pPr>
        <w:pStyle w:val="61"/>
        <w:rPr>
          <w:rFonts w:hint="eastAsia"/>
          <w:lang w:val="en-US" w:eastAsia="zh-CN"/>
        </w:rPr>
      </w:pPr>
      <w:r>
        <w:rPr>
          <w:rFonts w:hint="eastAsia"/>
          <w:lang w:val="en-US" w:eastAsia="zh-CN"/>
        </w:rPr>
        <w:t>c） 额定工作电压（kV）；</w:t>
      </w:r>
    </w:p>
    <w:p w14:paraId="40501034">
      <w:pPr>
        <w:pStyle w:val="61"/>
        <w:rPr>
          <w:rFonts w:hint="eastAsia"/>
          <w:lang w:val="en-US" w:eastAsia="zh-CN"/>
        </w:rPr>
      </w:pPr>
      <w:r>
        <w:rPr>
          <w:rFonts w:hint="eastAsia"/>
          <w:lang w:val="en-US" w:eastAsia="zh-CN"/>
        </w:rPr>
        <w:t>d） 制造年份和月份；</w:t>
      </w:r>
    </w:p>
    <w:p w14:paraId="46E16930">
      <w:pPr>
        <w:pStyle w:val="61"/>
        <w:rPr>
          <w:rFonts w:hint="eastAsia"/>
          <w:lang w:val="en-US" w:eastAsia="zh-CN"/>
        </w:rPr>
      </w:pPr>
      <w:r>
        <w:rPr>
          <w:rFonts w:hint="eastAsia"/>
          <w:lang w:val="en-US" w:eastAsia="zh-CN"/>
        </w:rPr>
        <w:t>e） 产品序列号或出厂编号；</w:t>
      </w:r>
    </w:p>
    <w:p w14:paraId="5A6FCB8B">
      <w:pPr>
        <w:pStyle w:val="61"/>
        <w:rPr>
          <w:rFonts w:hint="eastAsia"/>
          <w:lang w:val="en-US" w:eastAsia="zh-CN"/>
        </w:rPr>
      </w:pPr>
      <w:r>
        <w:rPr>
          <w:rFonts w:hint="eastAsia"/>
          <w:lang w:val="en-US" w:eastAsia="zh-CN"/>
        </w:rPr>
        <w:t>f） 带电作业标志符号（双三角符号）；</w:t>
      </w:r>
    </w:p>
    <w:p w14:paraId="0AF1AD7E">
      <w:pPr>
        <w:pStyle w:val="61"/>
        <w:rPr>
          <w:rFonts w:hint="default"/>
          <w:lang w:val="en-US" w:eastAsia="zh-CN"/>
        </w:rPr>
      </w:pPr>
      <w:r>
        <w:rPr>
          <w:rFonts w:hint="eastAsia"/>
          <w:lang w:val="en-US" w:eastAsia="zh-CN"/>
        </w:rPr>
        <w:t>g） 本文件编号（T/××× ××××—202×）；</w:t>
      </w:r>
    </w:p>
    <w:p w14:paraId="37FE510D">
      <w:pPr>
        <w:pStyle w:val="61"/>
        <w:rPr>
          <w:rFonts w:hint="eastAsia"/>
          <w:lang w:val="en-US" w:eastAsia="zh-CN"/>
        </w:rPr>
      </w:pPr>
      <w:r>
        <w:rPr>
          <w:rFonts w:hint="eastAsia"/>
          <w:lang w:val="en-US" w:eastAsia="zh-CN"/>
        </w:rPr>
        <w:t>h） 出厂合格证和使用说明书。</w:t>
      </w:r>
    </w:p>
    <w:p w14:paraId="07D23364">
      <w:pPr>
        <w:pStyle w:val="110"/>
        <w:bidi w:val="0"/>
        <w:rPr>
          <w:rFonts w:hint="eastAsia"/>
          <w:lang w:val="en-US" w:eastAsia="zh-CN"/>
        </w:rPr>
      </w:pPr>
      <w:bookmarkStart w:id="134" w:name="_Toc10363"/>
      <w:r>
        <w:rPr>
          <w:rFonts w:hint="eastAsia"/>
          <w:lang w:val="en-US" w:eastAsia="zh-CN"/>
        </w:rPr>
        <w:t>包装</w:t>
      </w:r>
      <w:bookmarkEnd w:id="134"/>
    </w:p>
    <w:p w14:paraId="1DFA9ACD">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8.2.1 绝缘梯应采用防潮、防磨损的包装材料进行包装。</w:t>
      </w:r>
    </w:p>
    <w:p w14:paraId="3482824B">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8.2.2 包装内应附有产品合格证、使用说明书及装箱单。</w:t>
      </w:r>
    </w:p>
    <w:p w14:paraId="6E8E48EB">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8.2.3 使用说明书内容包括：产品结构说明、使用条件、安全操作事项、维护保养要求以及定期检验周期。</w:t>
      </w:r>
    </w:p>
    <w:p w14:paraId="1B508D2B">
      <w:pPr>
        <w:pStyle w:val="110"/>
        <w:bidi w:val="0"/>
        <w:rPr>
          <w:rFonts w:hint="eastAsia"/>
          <w:lang w:val="en-US" w:eastAsia="zh-CN"/>
        </w:rPr>
      </w:pPr>
      <w:bookmarkStart w:id="135" w:name="_Toc23946"/>
      <w:r>
        <w:rPr>
          <w:rFonts w:hint="eastAsia"/>
          <w:lang w:val="en-US" w:eastAsia="zh-CN"/>
        </w:rPr>
        <w:t>运输</w:t>
      </w:r>
      <w:bookmarkEnd w:id="135"/>
    </w:p>
    <w:p w14:paraId="5BAE0F25">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8.3.1 运输过程中应避免绝缘梯受到剧烈碰撞、挤压和雨淋。</w:t>
      </w:r>
    </w:p>
    <w:p w14:paraId="4426D2E4">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8.3.2 绝缘梯应与其他锋利或有腐蚀性物品隔离放置。</w:t>
      </w:r>
    </w:p>
    <w:p w14:paraId="34525484">
      <w:pPr>
        <w:pStyle w:val="110"/>
        <w:bidi w:val="0"/>
        <w:rPr>
          <w:rFonts w:hint="eastAsia"/>
          <w:lang w:val="en-US" w:eastAsia="zh-CN"/>
        </w:rPr>
      </w:pPr>
      <w:bookmarkStart w:id="136" w:name="_Toc32306"/>
      <w:r>
        <w:rPr>
          <w:rFonts w:hint="eastAsia"/>
          <w:lang w:val="en-US" w:eastAsia="zh-CN"/>
        </w:rPr>
        <w:t>贮存</w:t>
      </w:r>
      <w:bookmarkEnd w:id="136"/>
    </w:p>
    <w:p w14:paraId="6DF74021">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8.4.1 绝缘梯应存放在干燥、通风、无腐蚀性气体的库房内。</w:t>
      </w:r>
    </w:p>
    <w:p w14:paraId="04BE639B">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8.4.2 贮存环境温度宜为-40 ℃至+35 ℃。</w:t>
      </w:r>
    </w:p>
    <w:p w14:paraId="5864B385">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8.4.3 绝缘梯不应长期露天存放，应避免日光直接曝晒。</w:t>
      </w:r>
    </w:p>
    <w:p w14:paraId="6C0EB892">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8.4.4 绝缘梯应避免与酸、碱、油类及有机溶剂接触。</w:t>
      </w:r>
    </w:p>
    <w:p w14:paraId="6E3D42BC">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8.4.5 产品自出厂之日起，贮存期超过24个月时，在投入使用前应按照本文件第6章中预防性试验项目重新检验。</w:t>
      </w:r>
    </w:p>
    <w:p w14:paraId="6061670D">
      <w:pPr>
        <w:pStyle w:val="61"/>
        <w:keepNext w:val="0"/>
        <w:keepLines w:val="0"/>
        <w:pageBreakBefore w:val="0"/>
        <w:widowControl/>
        <w:kinsoku/>
        <w:wordWrap/>
        <w:overflowPunct/>
        <w:topLinePunct w:val="0"/>
        <w:autoSpaceDE w:val="0"/>
        <w:autoSpaceDN w:val="0"/>
        <w:bidi w:val="0"/>
        <w:adjustRightInd/>
        <w:snapToGrid/>
        <w:ind w:firstLine="0" w:firstLineChars="0"/>
        <w:textAlignment w:val="auto"/>
        <w:rPr>
          <w:rFonts w:hint="eastAsia"/>
          <w:lang w:val="en-US" w:eastAsia="zh-CN"/>
        </w:rPr>
      </w:pPr>
      <w:r>
        <w:rPr>
          <w:rFonts w:hint="eastAsia"/>
          <w:lang w:val="en-US" w:eastAsia="zh-CN"/>
        </w:rPr>
        <w:t>8.4.6 绝缘梯的使用年限推荐为5年（自出厂之日起计算），超过5年应强制报废。如因使用频次极高或表面出现显著老化劣化，应提前报废。</w:t>
      </w:r>
    </w:p>
    <w:p w14:paraId="68175F5B">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default"/>
          <w:lang w:val="en-US" w:eastAsia="zh-CN"/>
        </w:rPr>
      </w:pPr>
    </w:p>
    <w:p w14:paraId="3D3C8E46">
      <w:pPr>
        <w:keepNext w:val="0"/>
        <w:keepLines w:val="0"/>
        <w:pageBreakBefore w:val="0"/>
        <w:kinsoku/>
        <w:wordWrap/>
        <w:overflowPunct/>
        <w:topLinePunct w:val="0"/>
        <w:bidi w:val="0"/>
        <w:snapToGrid/>
        <w:spacing w:before="58" w:line="45" w:lineRule="exact"/>
        <w:ind w:left="3165"/>
        <w:textAlignment w:val="auto"/>
        <w:outlineLvl w:val="9"/>
        <w:rPr>
          <w:rFonts w:hint="default" w:ascii="Times New Roman" w:hAnsi="Times New Roman" w:eastAsia="Times New Roman"/>
          <w:sz w:val="20"/>
          <w:szCs w:val="20"/>
          <w:lang w:val="en-US" w:eastAsia="zh-CN"/>
        </w:rPr>
      </w:pPr>
      <w:bookmarkStart w:id="137" w:name="_Toc16819"/>
      <w:bookmarkStart w:id="138" w:name="_Toc25614"/>
      <w:bookmarkStart w:id="139" w:name="_Toc10181"/>
      <w:bookmarkStart w:id="140" w:name="_Toc215"/>
      <w:r>
        <w:rPr>
          <w:rFonts w:ascii="Times New Roman" w:hAnsi="Times New Roman" w:eastAsia="Times New Roman"/>
          <w:b/>
          <w:bCs/>
          <w:spacing w:val="9"/>
          <w:position w:val="5"/>
          <w:sz w:val="20"/>
          <w:szCs w:val="20"/>
        </w:rPr>
        <w:t>_</w:t>
      </w:r>
      <w:r>
        <w:rPr>
          <w:rFonts w:ascii="Times New Roman" w:hAnsi="Times New Roman" w:eastAsia="Times New Roman"/>
          <w:b/>
          <w:bCs/>
          <w:spacing w:val="5"/>
          <w:position w:val="5"/>
          <w:sz w:val="20"/>
          <w:szCs w:val="20"/>
        </w:rPr>
        <w:t>______________________________</w:t>
      </w:r>
      <w:bookmarkEnd w:id="137"/>
      <w:bookmarkEnd w:id="138"/>
      <w:bookmarkEnd w:id="139"/>
      <w:bookmarkEnd w:id="140"/>
    </w:p>
    <w:sectPr>
      <w:headerReference r:id="rId11" w:type="default"/>
      <w:footerReference r:id="rId12" w:type="default"/>
      <w:pgSz w:w="11906" w:h="16838"/>
      <w:pgMar w:top="1928" w:right="1134" w:bottom="1134" w:left="1134" w:header="1418" w:footer="1134" w:gutter="284"/>
      <w:pgNumType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9810123-E57B-49B3-9396-387D15937832}"/>
  </w:font>
  <w:font w:name="Arial">
    <w:panose1 w:val="020B0604020202020204"/>
    <w:charset w:val="01"/>
    <w:family w:val="swiss"/>
    <w:pitch w:val="default"/>
    <w:sig w:usb0="E0002EFF" w:usb1="C000785B" w:usb2="00000009" w:usb3="00000000" w:csb0="400001FF" w:csb1="FFFF0000"/>
    <w:embedRegular r:id="rId2" w:fontKey="{60BAC6E2-4664-419B-B346-F15CA9E98810}"/>
  </w:font>
  <w:font w:name="黑体">
    <w:panose1 w:val="02010609060101010101"/>
    <w:charset w:val="86"/>
    <w:family w:val="auto"/>
    <w:pitch w:val="default"/>
    <w:sig w:usb0="800002BF" w:usb1="38CF7CFA" w:usb2="00000016" w:usb3="00000000" w:csb0="00040001" w:csb1="00000000"/>
    <w:embedRegular r:id="rId3" w:fontKey="{9D4D515D-A0ED-4177-81C4-7BBA382B2784}"/>
  </w:font>
  <w:font w:name="Courier New">
    <w:panose1 w:val="02070309020205020404"/>
    <w:charset w:val="01"/>
    <w:family w:val="modern"/>
    <w:pitch w:val="default"/>
    <w:sig w:usb0="E0002EFF" w:usb1="C0007843" w:usb2="00000009" w:usb3="00000000" w:csb0="400001FF" w:csb1="FFFF0000"/>
    <w:embedRegular r:id="rId4" w:fontKey="{905CEE89-7EBA-473C-B7C6-05DFEAB1C696}"/>
  </w:font>
  <w:font w:name="Symbol">
    <w:panose1 w:val="05050102010706020507"/>
    <w:charset w:val="02"/>
    <w:family w:val="roman"/>
    <w:pitch w:val="default"/>
    <w:sig w:usb0="00000000" w:usb1="00000000" w:usb2="00000000" w:usb3="00000000" w:csb0="80000000" w:csb1="00000000"/>
    <w:embedRegular r:id="rId5" w:fontKey="{5E7D06AB-D17E-4F2B-A554-EAAC1C432CF4}"/>
  </w:font>
  <w:font w:name="Calibri">
    <w:panose1 w:val="020F0502020204030204"/>
    <w:charset w:val="00"/>
    <w:family w:val="swiss"/>
    <w:pitch w:val="default"/>
    <w:sig w:usb0="E4002EFF" w:usb1="C000247B" w:usb2="00000009" w:usb3="00000000" w:csb0="200001FF" w:csb1="00000000"/>
    <w:embedRegular r:id="rId6" w:fontKey="{5D078DA5-D9A0-4430-A333-5BDBF5335966}"/>
  </w:font>
  <w:font w:name="等线">
    <w:panose1 w:val="02010600030101010101"/>
    <w:charset w:val="86"/>
    <w:family w:val="auto"/>
    <w:pitch w:val="default"/>
    <w:sig w:usb0="A00002BF" w:usb1="38CF7CFA" w:usb2="00000016" w:usb3="00000000" w:csb0="0004000F" w:csb1="00000000"/>
    <w:embedRegular r:id="rId7" w:fontKey="{A4B0AE43-1490-400B-A934-E01C8D07102A}"/>
  </w:font>
  <w:font w:name="等线 Light">
    <w:panose1 w:val="02010600030101010101"/>
    <w:charset w:val="86"/>
    <w:family w:val="auto"/>
    <w:pitch w:val="default"/>
    <w:sig w:usb0="A00002BF" w:usb1="38CF7CFA" w:usb2="00000016" w:usb3="00000000" w:csb0="0004000F" w:csb1="00000000"/>
  </w:font>
  <w:font w:name="隶属">
    <w:altName w:val="宋体"/>
    <w:panose1 w:val="00000000000000000000"/>
    <w:charset w:val="00"/>
    <w:family w:val="auto"/>
    <w:pitch w:val="default"/>
    <w:sig w:usb0="00000000" w:usb1="00000000" w:usb2="00000000" w:usb3="00000000" w:csb0="00040001" w:csb1="00000000"/>
    <w:embedRegular r:id="rId8" w:fontKey="{20A018CE-B255-4777-A595-298A025C9A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E2E08">
    <w:pPr>
      <w:widowControl w:val="0"/>
      <w:tabs>
        <w:tab w:val="center" w:pos="4153"/>
        <w:tab w:val="right" w:pos="8306"/>
      </w:tabs>
      <w:snapToGrid w:val="0"/>
      <w:jc w:val="left"/>
      <w:rPr>
        <w:rFonts w:ascii="等线" w:hAnsi="等线" w:eastAsia="等线"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等线" w:hAnsi="等线" w:eastAsia="等线" w:cs="Times New Roman"/>
        <w:kern w:val="2"/>
        <w:sz w:val="21"/>
        <w:szCs w:val="22"/>
        <w:lang w:val="en-US" w:eastAsia="zh-CN" w:bidi="ar-SA"/>
      </w:rPr>
      <w:id w:val="-548138633"/>
      <w:docPartObj>
        <w:docPartGallery w:val="autotext"/>
      </w:docPartObj>
    </w:sdtPr>
    <w:sdtEndPr>
      <w:rPr>
        <w:rFonts w:ascii="等线" w:hAnsi="等线" w:eastAsia="等线" w:cs="Times New Roman"/>
        <w:kern w:val="2"/>
        <w:sz w:val="18"/>
        <w:szCs w:val="18"/>
        <w:lang w:val="en-US" w:eastAsia="zh-CN" w:bidi="ar-SA"/>
      </w:rPr>
    </w:sdtEndPr>
    <w:sdtContent>
      <w:p w14:paraId="21E1B7DD">
        <w:pPr>
          <w:framePr w:wrap="auto" w:vAnchor="text" w:hAnchor="margin" w:xAlign="center" w:y="1"/>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rFonts w:ascii="宋体" w:hAnsi="Times New Roman" w:eastAsia="宋体" w:cs="宋体"/>
            <w:kern w:val="2"/>
            <w:sz w:val="18"/>
            <w:szCs w:val="18"/>
            <w:lang w:val="en-US" w:eastAsia="zh-CN" w:bidi="ar-SA"/>
          </w:rPr>
          <w:fldChar w:fldCharType="begin"/>
        </w:r>
        <w:r>
          <w:rPr>
            <w:rFonts w:ascii="宋体" w:hAnsi="Times New Roman" w:eastAsia="宋体" w:cs="宋体"/>
            <w:kern w:val="2"/>
            <w:sz w:val="18"/>
            <w:szCs w:val="18"/>
            <w:lang w:val="en-US" w:eastAsia="zh-CN" w:bidi="ar-SA"/>
          </w:rPr>
          <w:instrText xml:space="preserve"> PAGE </w:instrText>
        </w:r>
        <w:r>
          <w:rPr>
            <w:rFonts w:ascii="宋体" w:hAnsi="Times New Roman" w:eastAsia="宋体" w:cs="宋体"/>
            <w:kern w:val="2"/>
            <w:sz w:val="18"/>
            <w:szCs w:val="18"/>
            <w:lang w:val="en-US" w:eastAsia="zh-CN" w:bidi="ar-SA"/>
          </w:rPr>
          <w:fldChar w:fldCharType="end"/>
        </w:r>
      </w:p>
    </w:sdtContent>
  </w:sdt>
  <w:p w14:paraId="4A321105">
    <w:pPr>
      <w:widowControl w:val="0"/>
      <w:tabs>
        <w:tab w:val="center" w:pos="4153"/>
        <w:tab w:val="right" w:pos="8306"/>
      </w:tabs>
      <w:snapToGrid w:val="0"/>
      <w:jc w:val="left"/>
      <w:rPr>
        <w:rFonts w:ascii="等线" w:hAnsi="等线" w:eastAsia="等线"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5E298">
    <w:pPr>
      <w:widowControl w:val="0"/>
      <w:tabs>
        <w:tab w:val="center" w:pos="4153"/>
        <w:tab w:val="right" w:pos="8306"/>
      </w:tabs>
      <w:snapToGrid w:val="0"/>
      <w:jc w:val="left"/>
      <w:rPr>
        <w:rFonts w:ascii="等线" w:hAnsi="等线" w:eastAsia="等线" w:cs="Times New Roman"/>
        <w:kern w:val="2"/>
        <w:sz w:val="18"/>
        <w:szCs w:val="18"/>
        <w:lang w:val="en-US" w:eastAsia="zh-CN" w:bidi="ar-SA"/>
      </w:rPr>
    </w:pPr>
    <w:sdt>
      <w:sdtPr>
        <w:rPr>
          <w:rFonts w:ascii="等线" w:hAnsi="等线" w:eastAsia="等线" w:cs="Times New Roman"/>
          <w:kern w:val="2"/>
          <w:sz w:val="21"/>
          <w:szCs w:val="22"/>
          <w:lang w:val="en-US" w:eastAsia="zh-CN" w:bidi="ar-SA"/>
        </w:rPr>
        <w:id w:val="1458601550"/>
        <w:docPartObj>
          <w:docPartGallery w:val="autotext"/>
        </w:docPartObj>
      </w:sdtPr>
      <w:sdtEndPr>
        <w:rPr>
          <w:rFonts w:ascii="等线" w:hAnsi="等线" w:eastAsia="等线" w:cs="Times New Roman"/>
          <w:kern w:val="2"/>
          <w:sz w:val="18"/>
          <w:szCs w:val="18"/>
          <w:lang w:val="en-US" w:eastAsia="zh-CN" w:bidi="ar-SA"/>
        </w:rPr>
      </w:sdtEnd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88984">
    <w:pPr>
      <w:pStyle w:val="57"/>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F0D0C">
    <w:pPr>
      <w:pStyle w:val="57"/>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8BCAF">
                          <w:pPr>
                            <w:pStyle w:val="57"/>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338BCAF">
                    <w:pPr>
                      <w:pStyle w:val="57"/>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D29DD">
    <w:pPr>
      <w:pStyle w:val="66"/>
      <w:wordWrap w:val="0"/>
      <w:rPr>
        <w:rFonts w:hint="default" w:eastAsia="黑体"/>
        <w:lang w:val="en-US" w:eastAsia="zh-CN"/>
      </w:rPr>
    </w:pPr>
    <w:r>
      <w:rPr>
        <w:rFonts w:hint="eastAsia"/>
        <w:lang w:val="en-US" w:eastAsia="zh-CN"/>
      </w:rPr>
      <w:t>T/CI 351-2024</w:t>
    </w:r>
  </w:p>
  <w:p w14:paraId="5C843251">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556B0">
    <w:pPr>
      <w:pStyle w:val="66"/>
      <w:rPr>
        <w:sz w:val="21"/>
        <w:szCs w:val="21"/>
      </w:rPr>
    </w:pPr>
    <w:r>
      <w:rPr>
        <w:rFonts w:hint="eastAsia" w:ascii="黑体" w:hAnsi="黑体" w:eastAsia="黑体" w:cs="黑体"/>
        <w:sz w:val="21"/>
        <w:szCs w:val="21"/>
      </w:rPr>
      <w:t>T/</w:t>
    </w:r>
    <w:r>
      <w:rPr>
        <w:rFonts w:hint="eastAsia" w:hAnsi="黑体" w:cs="黑体"/>
        <w:sz w:val="21"/>
        <w:szCs w:val="21"/>
        <w:lang w:val="en-US" w:eastAsia="zh-CN"/>
      </w:rPr>
      <w:t>CWDPA</w:t>
    </w:r>
    <w:r>
      <w:rPr>
        <w:rFonts w:hint="eastAsia" w:ascii="黑体" w:hAnsi="黑体" w:eastAsia="黑体" w:cs="黑体"/>
        <w:sz w:val="21"/>
        <w:szCs w:val="21"/>
      </w:rPr>
      <w:t xml:space="preserve"> </w:t>
    </w:r>
    <w:r>
      <w:rPr>
        <w:rFonts w:hint="eastAsia" w:ascii="黑体" w:hAnsi="黑体" w:eastAsia="黑体" w:cs="黑体"/>
        <w:sz w:val="21"/>
        <w:szCs w:val="21"/>
        <w:lang w:val="en-US" w:eastAsia="zh-CN"/>
      </w:rPr>
      <w:t>XXX</w:t>
    </w:r>
    <w:r>
      <w:rPr>
        <w:rFonts w:hint="eastAsia" w:ascii="黑体" w:hAnsi="黑体" w:eastAsia="黑体" w:cs="黑体"/>
        <w:sz w:val="21"/>
        <w:szCs w:val="21"/>
      </w:rPr>
      <w:t>—202</w:t>
    </w:r>
    <w:r>
      <w:rPr>
        <w:rFonts w:hint="eastAsia" w:hAnsi="黑体" w:cs="黑体"/>
        <w:sz w:val="21"/>
        <w:szCs w:val="21"/>
        <w:lang w:val="en-US" w:eastAsia="zh-CN"/>
      </w:rPr>
      <w:t>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B8EF4">
    <w:pPr>
      <w:pStyle w:val="19"/>
      <w:jc w:val="right"/>
      <w:rPr>
        <w:rFonts w:hint="eastAsia" w:eastAsia="宋体"/>
        <w:lang w:val="en-US" w:eastAsia="zh-CN"/>
      </w:rPr>
    </w:pPr>
    <w:r>
      <w:rPr>
        <w:rFonts w:hint="eastAsia" w:ascii="黑体" w:hAnsi="黑体" w:eastAsia="黑体" w:cs="黑体"/>
        <w:sz w:val="21"/>
        <w:szCs w:val="21"/>
      </w:rPr>
      <w:t>T/CWDPA XXX—202</w:t>
    </w:r>
    <w:r>
      <w:rPr>
        <w:rFonts w:hint="eastAsia" w:ascii="黑体" w:hAnsi="黑体" w:eastAsia="黑体" w:cs="黑体"/>
        <w:sz w:val="21"/>
        <w:szCs w:val="21"/>
        <w:lang w:val="en-US" w:eastAsia="zh-CN"/>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53FBA"/>
    <w:multiLevelType w:val="multilevel"/>
    <w:tmpl w:val="AE653FBA"/>
    <w:lvl w:ilvl="0" w:tentative="0">
      <w:start w:val="1"/>
      <w:numFmt w:val="upperLetter"/>
      <w:pStyle w:val="203"/>
      <w:lvlText w:val="%1"/>
      <w:lvlJc w:val="left"/>
      <w:pPr>
        <w:ind w:left="420" w:hanging="420"/>
      </w:pPr>
      <w:rPr>
        <w:rFonts w:hint="eastAsia"/>
      </w:rPr>
    </w:lvl>
    <w:lvl w:ilvl="1" w:tentative="0">
      <w:start w:val="1"/>
      <w:numFmt w:val="decimal"/>
      <w:pStyle w:val="88"/>
      <w:suff w:val="space"/>
      <w:lvlText w:val="图%1.%2　"/>
      <w:lvlJc w:val="center"/>
      <w:pPr>
        <w:tabs>
          <w:tab w:val="left" w:pos="0"/>
        </w:tabs>
        <w:ind w:left="0" w:firstLine="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2837933"/>
    <w:multiLevelType w:val="multilevel"/>
    <w:tmpl w:val="02837933"/>
    <w:lvl w:ilvl="0" w:tentative="0">
      <w:start w:val="1"/>
      <w:numFmt w:val="decimal"/>
      <w:pStyle w:val="69"/>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2">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4"/>
      <w:suff w:val="nothing"/>
      <w:lvlText w:val="%1%2.%3　"/>
      <w:lvlJc w:val="left"/>
      <w:pPr>
        <w:ind w:left="0" w:firstLine="0"/>
      </w:pPr>
    </w:lvl>
    <w:lvl w:ilvl="3" w:tentative="0">
      <w:start w:val="1"/>
      <w:numFmt w:val="decimal"/>
      <w:pStyle w:val="123"/>
      <w:suff w:val="nothing"/>
      <w:lvlText w:val="%1%2.%3.%4　"/>
      <w:lvlJc w:val="left"/>
      <w:pPr>
        <w:ind w:left="0" w:firstLine="0"/>
      </w:pPr>
    </w:lvl>
    <w:lvl w:ilvl="4" w:tentative="0">
      <w:start w:val="1"/>
      <w:numFmt w:val="decimal"/>
      <w:pStyle w:val="158"/>
      <w:suff w:val="nothing"/>
      <w:lvlText w:val="%1%2.%3.%4.%5　"/>
      <w:lvlJc w:val="left"/>
      <w:pPr>
        <w:ind w:left="0" w:firstLine="0"/>
      </w:pPr>
    </w:lvl>
    <w:lvl w:ilvl="5" w:tentative="0">
      <w:start w:val="1"/>
      <w:numFmt w:val="decimal"/>
      <w:pStyle w:val="160"/>
      <w:suff w:val="nothing"/>
      <w:lvlText w:val="%1%2.%3.%4.%5.%6　"/>
      <w:lvlJc w:val="left"/>
      <w:pPr>
        <w:ind w:left="0" w:firstLine="0"/>
      </w:pPr>
    </w:lvl>
    <w:lvl w:ilvl="6" w:tentative="0">
      <w:start w:val="1"/>
      <w:numFmt w:val="decimal"/>
      <w:pStyle w:val="163"/>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079102AD"/>
    <w:multiLevelType w:val="multilevel"/>
    <w:tmpl w:val="079102AD"/>
    <w:lvl w:ilvl="0" w:tentative="0">
      <w:start w:val="1"/>
      <w:numFmt w:val="decimal"/>
      <w:pStyle w:val="185"/>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
    <w:nsid w:val="07ED3FEA"/>
    <w:multiLevelType w:val="multilevel"/>
    <w:tmpl w:val="07ED3FEA"/>
    <w:lvl w:ilvl="0" w:tentative="0">
      <w:start w:val="1"/>
      <w:numFmt w:val="none"/>
      <w:pStyle w:val="94"/>
      <w:lvlText w:val="%1"/>
      <w:lvlJc w:val="left"/>
      <w:pPr>
        <w:ind w:left="425" w:hanging="425"/>
      </w:pPr>
      <w:rPr>
        <w:rFonts w:hint="eastAsia"/>
      </w:rPr>
    </w:lvl>
    <w:lvl w:ilvl="1" w:tentative="0">
      <w:start w:val="1"/>
      <w:numFmt w:val="decimal"/>
      <w:pStyle w:val="205"/>
      <w:suff w:val="nothing"/>
      <w:lvlText w:val="%10.%2 "/>
      <w:lvlJc w:val="left"/>
      <w:pPr>
        <w:ind w:left="0" w:firstLine="0"/>
      </w:pPr>
      <w:rPr>
        <w:rFonts w:hint="eastAsia" w:ascii="黑体" w:eastAsia="黑体" w:hAnsiTheme="minorHAnsi"/>
        <w:b w:val="0"/>
        <w:i w:val="0"/>
        <w:sz w:val="21"/>
      </w:rPr>
    </w:lvl>
    <w:lvl w:ilvl="2" w:tentative="0">
      <w:start w:val="1"/>
      <w:numFmt w:val="decimal"/>
      <w:pStyle w:val="206"/>
      <w:suff w:val="nothing"/>
      <w:lvlText w:val="%10.%2.%3 "/>
      <w:lvlJc w:val="left"/>
      <w:pPr>
        <w:ind w:left="0" w:firstLine="0"/>
      </w:pPr>
      <w:rPr>
        <w:rFonts w:hint="eastAsia" w:ascii="黑体" w:eastAsia="黑体" w:hAnsiTheme="minorHAnsi"/>
        <w:b w:val="0"/>
        <w:i w:val="0"/>
        <w:sz w:val="21"/>
      </w:rPr>
    </w:lvl>
    <w:lvl w:ilvl="3" w:tentative="0">
      <w:start w:val="1"/>
      <w:numFmt w:val="decimal"/>
      <w:pStyle w:val="207"/>
      <w:suff w:val="nothing"/>
      <w:lvlText w:val="%10.%2.%3.%4 "/>
      <w:lvlJc w:val="left"/>
      <w:pPr>
        <w:ind w:left="0" w:firstLine="0"/>
      </w:pPr>
      <w:rPr>
        <w:rFonts w:hint="eastAsia" w:ascii="黑体" w:eastAsia="黑体" w:hAnsiTheme="minorHAnsi"/>
        <w:b w:val="0"/>
        <w:i w:val="0"/>
        <w:sz w:val="21"/>
      </w:rPr>
    </w:lvl>
    <w:lvl w:ilvl="4" w:tentative="0">
      <w:start w:val="1"/>
      <w:numFmt w:val="decimal"/>
      <w:pStyle w:val="208"/>
      <w:suff w:val="nothing"/>
      <w:lvlText w:val="%10.%2.%3.%4.%5 "/>
      <w:lvlJc w:val="left"/>
      <w:pPr>
        <w:ind w:left="0" w:firstLine="0"/>
      </w:pPr>
      <w:rPr>
        <w:rFonts w:hint="eastAsia" w:ascii="黑体" w:eastAsia="黑体" w:hAnsiTheme="minorHAnsi"/>
        <w:b w:val="0"/>
        <w:i w:val="0"/>
        <w:sz w:val="21"/>
      </w:rPr>
    </w:lvl>
    <w:lvl w:ilvl="5" w:tentative="0">
      <w:start w:val="1"/>
      <w:numFmt w:val="decimal"/>
      <w:pStyle w:val="209"/>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AE367E9"/>
    <w:multiLevelType w:val="multilevel"/>
    <w:tmpl w:val="0AE367E9"/>
    <w:lvl w:ilvl="0" w:tentative="0">
      <w:start w:val="1"/>
      <w:numFmt w:val="none"/>
      <w:pStyle w:val="186"/>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0BDC1670"/>
    <w:multiLevelType w:val="multilevel"/>
    <w:tmpl w:val="0BDC1670"/>
    <w:lvl w:ilvl="0" w:tentative="0">
      <w:start w:val="1"/>
      <w:numFmt w:val="decimal"/>
      <w:pStyle w:val="72"/>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D051F45"/>
    <w:multiLevelType w:val="multilevel"/>
    <w:tmpl w:val="0D051F45"/>
    <w:lvl w:ilvl="0" w:tentative="0">
      <w:start w:val="1"/>
      <w:numFmt w:val="lowerRoman"/>
      <w:pStyle w:val="17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8">
    <w:nsid w:val="1AD20F90"/>
    <w:multiLevelType w:val="multilevel"/>
    <w:tmpl w:val="1AD20F90"/>
    <w:lvl w:ilvl="0" w:tentative="0">
      <w:start w:val="1"/>
      <w:numFmt w:val="none"/>
      <w:pStyle w:val="115"/>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AF15012"/>
    <w:multiLevelType w:val="multilevel"/>
    <w:tmpl w:val="1AF15012"/>
    <w:lvl w:ilvl="0" w:tentative="0">
      <w:start w:val="1"/>
      <w:numFmt w:val="upperLetter"/>
      <w:pStyle w:val="90"/>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1EAA1992"/>
    <w:multiLevelType w:val="multilevel"/>
    <w:tmpl w:val="1EAA1992"/>
    <w:lvl w:ilvl="0" w:tentative="0">
      <w:start w:val="1"/>
      <w:numFmt w:val="none"/>
      <w:pStyle w:val="97"/>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1">
    <w:nsid w:val="2C5917C3"/>
    <w:multiLevelType w:val="multilevel"/>
    <w:tmpl w:val="2C5917C3"/>
    <w:lvl w:ilvl="0" w:tentative="0">
      <w:start w:val="1"/>
      <w:numFmt w:val="none"/>
      <w:pStyle w:val="137"/>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2"/>
      <w:lvlText w:val=""/>
      <w:lvlJc w:val="left"/>
      <w:pPr>
        <w:ind w:left="851" w:hanging="431"/>
      </w:pPr>
      <w:rPr>
        <w:rFonts w:hint="default" w:ascii="Symbol" w:hAnsi="Symbol"/>
        <w:sz w:val="21"/>
      </w:rPr>
    </w:lvl>
    <w:lvl w:ilvl="2" w:tentative="0">
      <w:start w:val="1"/>
      <w:numFmt w:val="bullet"/>
      <w:pStyle w:val="177"/>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06"/>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44C50F90"/>
    <w:multiLevelType w:val="multilevel"/>
    <w:tmpl w:val="44C50F90"/>
    <w:lvl w:ilvl="0" w:tentative="0">
      <w:start w:val="1"/>
      <w:numFmt w:val="lowerLetter"/>
      <w:pStyle w:val="179"/>
      <w:lvlText w:val="%1)"/>
      <w:lvlJc w:val="left"/>
      <w:pPr>
        <w:tabs>
          <w:tab w:val="left" w:pos="851"/>
        </w:tabs>
        <w:ind w:left="851" w:hanging="426"/>
      </w:pPr>
      <w:rPr>
        <w:rFonts w:hint="eastAsia" w:ascii="宋体" w:hAnsi="Times New Roman" w:eastAsia="宋体"/>
        <w:sz w:val="21"/>
      </w:rPr>
    </w:lvl>
    <w:lvl w:ilvl="1" w:tentative="0">
      <w:start w:val="1"/>
      <w:numFmt w:val="decimal"/>
      <w:pStyle w:val="114"/>
      <w:lvlText w:val="%2)"/>
      <w:lvlJc w:val="left"/>
      <w:pPr>
        <w:tabs>
          <w:tab w:val="left" w:pos="1276"/>
        </w:tabs>
        <w:ind w:left="1276" w:hanging="425"/>
      </w:pPr>
      <w:rPr>
        <w:rFonts w:hint="eastAsia" w:ascii="宋体" w:hAnsi="Times New Roman" w:eastAsia="宋体"/>
        <w:sz w:val="21"/>
      </w:rPr>
    </w:lvl>
    <w:lvl w:ilvl="2" w:tentative="0">
      <w:start w:val="1"/>
      <w:numFmt w:val="decimal"/>
      <w:pStyle w:val="122"/>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4B733A5F"/>
    <w:multiLevelType w:val="multilevel"/>
    <w:tmpl w:val="4B733A5F"/>
    <w:lvl w:ilvl="0" w:tentative="0">
      <w:start w:val="1"/>
      <w:numFmt w:val="decimal"/>
      <w:pStyle w:val="188"/>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21"/>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8"/>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9"/>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4D2089"/>
    <w:multiLevelType w:val="multilevel"/>
    <w:tmpl w:val="564D2089"/>
    <w:lvl w:ilvl="0" w:tentative="0">
      <w:start w:val="1"/>
      <w:numFmt w:val="none"/>
      <w:pStyle w:val="116"/>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CCF408A"/>
    <w:multiLevelType w:val="multilevel"/>
    <w:tmpl w:val="5CCF408A"/>
    <w:lvl w:ilvl="0" w:tentative="0">
      <w:start w:val="1"/>
      <w:numFmt w:val="upperLetter"/>
      <w:pStyle w:val="204"/>
      <w:suff w:val="space"/>
      <w:lvlText w:val="%1"/>
      <w:lvlJc w:val="left"/>
      <w:pPr>
        <w:ind w:left="425" w:hanging="425"/>
      </w:pPr>
      <w:rPr>
        <w:rFonts w:hint="eastAsia"/>
      </w:rPr>
    </w:lvl>
    <w:lvl w:ilvl="1" w:tentative="0">
      <w:start w:val="1"/>
      <w:numFmt w:val="decimal"/>
      <w:pStyle w:val="82"/>
      <w:suff w:val="space"/>
      <w:lvlText w:val="表%1.%2　"/>
      <w:lvlJc w:val="center"/>
      <w:pPr>
        <w:tabs>
          <w:tab w:val="left" w:pos="0"/>
        </w:tabs>
        <w:ind w:left="0" w:firstLine="0"/>
      </w:pPr>
      <w:rPr>
        <w:rFonts w:hint="default"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644622F9"/>
    <w:multiLevelType w:val="multilevel"/>
    <w:tmpl w:val="644622F9"/>
    <w:lvl w:ilvl="0" w:tentative="0">
      <w:start w:val="1"/>
      <w:numFmt w:val="upp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7"/>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4"/>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81"/>
      <w:suff w:val="nothing"/>
      <w:lvlText w:val="附录%1"/>
      <w:lvlJc w:val="left"/>
      <w:pPr>
        <w:ind w:left="0" w:firstLine="0"/>
      </w:pPr>
      <w:rPr>
        <w:rFonts w:hint="eastAsia"/>
        <w:spacing w:val="100"/>
      </w:rPr>
    </w:lvl>
    <w:lvl w:ilvl="1" w:tentative="0">
      <w:start w:val="1"/>
      <w:numFmt w:val="decimal"/>
      <w:pStyle w:val="83"/>
      <w:suff w:val="nothing"/>
      <w:lvlText w:val="%1.%2　"/>
      <w:lvlJc w:val="left"/>
      <w:pPr>
        <w:ind w:left="0" w:firstLine="0"/>
      </w:pPr>
      <w:rPr>
        <w:rFonts w:hint="eastAsia" w:ascii="黑体" w:eastAsia="黑体"/>
        <w:b w:val="0"/>
        <w:i w:val="0"/>
        <w:sz w:val="21"/>
      </w:rPr>
    </w:lvl>
    <w:lvl w:ilvl="2" w:tentative="0">
      <w:start w:val="1"/>
      <w:numFmt w:val="decimal"/>
      <w:pStyle w:val="84"/>
      <w:suff w:val="nothing"/>
      <w:lvlText w:val="%1.%2.%3　"/>
      <w:lvlJc w:val="left"/>
      <w:pPr>
        <w:ind w:left="0" w:firstLine="0"/>
      </w:pPr>
      <w:rPr>
        <w:rFonts w:hint="eastAsia" w:ascii="黑体" w:eastAsia="黑体"/>
        <w:b w:val="0"/>
        <w:i w:val="0"/>
        <w:sz w:val="21"/>
      </w:rPr>
    </w:lvl>
    <w:lvl w:ilvl="3" w:tentative="0">
      <w:start w:val="1"/>
      <w:numFmt w:val="decimal"/>
      <w:pStyle w:val="86"/>
      <w:suff w:val="nothing"/>
      <w:lvlText w:val="%1.%2.%3.%4　"/>
      <w:lvlJc w:val="left"/>
      <w:pPr>
        <w:ind w:left="0" w:firstLine="0"/>
      </w:pPr>
      <w:rPr>
        <w:rFonts w:hint="eastAsia" w:ascii="黑体" w:eastAsia="黑体"/>
        <w:b w:val="0"/>
        <w:i w:val="0"/>
        <w:sz w:val="21"/>
      </w:rPr>
    </w:lvl>
    <w:lvl w:ilvl="4" w:tentative="0">
      <w:start w:val="1"/>
      <w:numFmt w:val="decimal"/>
      <w:pStyle w:val="87"/>
      <w:suff w:val="nothing"/>
      <w:lvlText w:val="%1.%2.%3.%4.%5　"/>
      <w:lvlJc w:val="left"/>
      <w:pPr>
        <w:ind w:left="0" w:firstLine="0"/>
      </w:pPr>
      <w:rPr>
        <w:rFonts w:hint="eastAsia" w:ascii="黑体" w:eastAsia="黑体"/>
        <w:b w:val="0"/>
        <w:i w:val="0"/>
        <w:sz w:val="21"/>
      </w:rPr>
    </w:lvl>
    <w:lvl w:ilvl="5" w:tentative="0">
      <w:start w:val="1"/>
      <w:numFmt w:val="decimal"/>
      <w:pStyle w:val="89"/>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3"/>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2"/>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8"/>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7"/>
      <w:suff w:val="nothing"/>
      <w:lvlText w:val="%1"/>
      <w:lvlJc w:val="left"/>
      <w:pPr>
        <w:ind w:left="0" w:firstLine="0"/>
      </w:pPr>
      <w:rPr>
        <w:rFonts w:hint="eastAsia"/>
      </w:rPr>
    </w:lvl>
    <w:lvl w:ilvl="1" w:tentative="0">
      <w:start w:val="1"/>
      <w:numFmt w:val="decimal"/>
      <w:pStyle w:val="109"/>
      <w:suff w:val="nothing"/>
      <w:lvlText w:val="%1%2　"/>
      <w:lvlJc w:val="left"/>
      <w:pPr>
        <w:ind w:left="0" w:firstLine="0"/>
      </w:pPr>
      <w:rPr>
        <w:rFonts w:hint="eastAsia" w:ascii="黑体" w:eastAsia="黑体"/>
        <w:b w:val="0"/>
        <w:i w:val="0"/>
        <w:sz w:val="21"/>
      </w:rPr>
    </w:lvl>
    <w:lvl w:ilvl="2" w:tentative="0">
      <w:start w:val="1"/>
      <w:numFmt w:val="decimal"/>
      <w:pStyle w:val="11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70"/>
      <w:suff w:val="nothing"/>
      <w:lvlText w:val="%1%2.%3.%4　"/>
      <w:lvlJc w:val="left"/>
      <w:pPr>
        <w:ind w:left="0" w:firstLine="0"/>
      </w:pPr>
      <w:rPr>
        <w:rFonts w:hint="eastAsia" w:ascii="黑体" w:eastAsia="黑体"/>
        <w:b w:val="0"/>
        <w:i w:val="0"/>
        <w:sz w:val="21"/>
      </w:rPr>
    </w:lvl>
    <w:lvl w:ilvl="4" w:tentative="0">
      <w:start w:val="1"/>
      <w:numFmt w:val="decimal"/>
      <w:pStyle w:val="99"/>
      <w:suff w:val="nothing"/>
      <w:lvlText w:val="%1%2.%3.%4.%5　"/>
      <w:lvlJc w:val="left"/>
      <w:pPr>
        <w:ind w:left="0" w:firstLine="0"/>
      </w:pPr>
      <w:rPr>
        <w:rFonts w:hint="eastAsia" w:ascii="黑体" w:eastAsia="黑体"/>
        <w:b w:val="0"/>
        <w:i w:val="0"/>
        <w:sz w:val="21"/>
      </w:rPr>
    </w:lvl>
    <w:lvl w:ilvl="5" w:tentative="0">
      <w:start w:val="1"/>
      <w:numFmt w:val="decimal"/>
      <w:pStyle w:val="103"/>
      <w:suff w:val="nothing"/>
      <w:lvlText w:val="%1%2.%3.%4.%5.%6　"/>
      <w:lvlJc w:val="left"/>
      <w:pPr>
        <w:ind w:left="0" w:firstLine="0"/>
      </w:pPr>
      <w:rPr>
        <w:rFonts w:hint="eastAsia" w:ascii="黑体" w:eastAsia="黑体"/>
        <w:b w:val="0"/>
        <w:i w:val="0"/>
        <w:sz w:val="21"/>
      </w:rPr>
    </w:lvl>
    <w:lvl w:ilvl="6" w:tentative="0">
      <w:start w:val="1"/>
      <w:numFmt w:val="decimal"/>
      <w:pStyle w:val="108"/>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4"/>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20"/>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4"/>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7"/>
  </w:num>
  <w:num w:numId="3">
    <w:abstractNumId w:val="6"/>
  </w:num>
  <w:num w:numId="4">
    <w:abstractNumId w:val="23"/>
  </w:num>
  <w:num w:numId="5">
    <w:abstractNumId w:val="19"/>
  </w:num>
  <w:num w:numId="6">
    <w:abstractNumId w:val="0"/>
  </w:num>
  <w:num w:numId="7">
    <w:abstractNumId w:val="9"/>
  </w:num>
  <w:num w:numId="8">
    <w:abstractNumId w:val="4"/>
  </w:num>
  <w:num w:numId="9">
    <w:abstractNumId w:val="10"/>
  </w:num>
  <w:num w:numId="10">
    <w:abstractNumId w:val="16"/>
  </w:num>
  <w:num w:numId="11">
    <w:abstractNumId w:val="25"/>
  </w:num>
  <w:num w:numId="12">
    <w:abstractNumId w:val="12"/>
  </w:num>
  <w:num w:numId="13">
    <w:abstractNumId w:val="13"/>
  </w:num>
  <w:num w:numId="14">
    <w:abstractNumId w:val="8"/>
  </w:num>
  <w:num w:numId="15">
    <w:abstractNumId w:val="18"/>
  </w:num>
  <w:num w:numId="16">
    <w:abstractNumId w:val="21"/>
  </w:num>
  <w:num w:numId="17">
    <w:abstractNumId w:val="17"/>
  </w:num>
  <w:num w:numId="18">
    <w:abstractNumId w:val="29"/>
  </w:num>
  <w:num w:numId="19">
    <w:abstractNumId w:val="15"/>
  </w:num>
  <w:num w:numId="20">
    <w:abstractNumId w:val="2"/>
  </w:num>
  <w:num w:numId="21">
    <w:abstractNumId w:val="11"/>
  </w:num>
  <w:num w:numId="22">
    <w:abstractNumId w:val="30"/>
  </w:num>
  <w:num w:numId="23">
    <w:abstractNumId w:val="20"/>
  </w:num>
  <w:num w:numId="24">
    <w:abstractNumId w:val="7"/>
  </w:num>
  <w:num w:numId="25">
    <w:abstractNumId w:val="26"/>
  </w:num>
  <w:num w:numId="26">
    <w:abstractNumId w:val="28"/>
  </w:num>
  <w:num w:numId="27">
    <w:abstractNumId w:val="3"/>
  </w:num>
  <w:num w:numId="28">
    <w:abstractNumId w:val="5"/>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bordersDoNotSurroundHeader w:val="0"/>
  <w:bordersDoNotSurroundFooter w:val="0"/>
  <w:attachedTemplate r:id="rId1"/>
  <w:documentProtection w:edit="forms"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hNzc5NGNmMzdlZmE0ZmRhNGMxZmY4ZDU4Zjk1MjcifQ=="/>
  </w:docVars>
  <w:rsids>
    <w:rsidRoot w:val="00CA61A4"/>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4C9E"/>
    <w:rsid w:val="000E6FD7"/>
    <w:rsid w:val="000F06E1"/>
    <w:rsid w:val="000F0E3C"/>
    <w:rsid w:val="000F19D5"/>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B06E8"/>
    <w:rsid w:val="001B193E"/>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9A4"/>
    <w:rsid w:val="00205F2C"/>
    <w:rsid w:val="00210B15"/>
    <w:rsid w:val="002142EA"/>
    <w:rsid w:val="002204BB"/>
    <w:rsid w:val="00221B79"/>
    <w:rsid w:val="00221C6B"/>
    <w:rsid w:val="00224596"/>
    <w:rsid w:val="002253A1"/>
    <w:rsid w:val="00225CF8"/>
    <w:rsid w:val="0022718D"/>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42B5"/>
    <w:rsid w:val="002D4F1A"/>
    <w:rsid w:val="002D6DA6"/>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07A95"/>
    <w:rsid w:val="00313B85"/>
    <w:rsid w:val="00317988"/>
    <w:rsid w:val="003221B4"/>
    <w:rsid w:val="00322E62"/>
    <w:rsid w:val="00324EDD"/>
    <w:rsid w:val="003331E4"/>
    <w:rsid w:val="00336C64"/>
    <w:rsid w:val="00337162"/>
    <w:rsid w:val="0034194F"/>
    <w:rsid w:val="00342DB8"/>
    <w:rsid w:val="00344605"/>
    <w:rsid w:val="003474AA"/>
    <w:rsid w:val="00350D1D"/>
    <w:rsid w:val="00351901"/>
    <w:rsid w:val="00352C83"/>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B09AD"/>
    <w:rsid w:val="003B0BD9"/>
    <w:rsid w:val="003B1F18"/>
    <w:rsid w:val="003B5BF0"/>
    <w:rsid w:val="003B60BF"/>
    <w:rsid w:val="003B6BE3"/>
    <w:rsid w:val="003C010C"/>
    <w:rsid w:val="003C0A6C"/>
    <w:rsid w:val="003C2859"/>
    <w:rsid w:val="003C3104"/>
    <w:rsid w:val="003C5A43"/>
    <w:rsid w:val="003D0519"/>
    <w:rsid w:val="003D0FF6"/>
    <w:rsid w:val="003D12CF"/>
    <w:rsid w:val="003D262C"/>
    <w:rsid w:val="003D6D61"/>
    <w:rsid w:val="003E015F"/>
    <w:rsid w:val="003E091D"/>
    <w:rsid w:val="003E1C53"/>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563CD"/>
    <w:rsid w:val="00463B77"/>
    <w:rsid w:val="00463C7B"/>
    <w:rsid w:val="00463F02"/>
    <w:rsid w:val="004644A6"/>
    <w:rsid w:val="004659BD"/>
    <w:rsid w:val="00470775"/>
    <w:rsid w:val="004715BD"/>
    <w:rsid w:val="004746B1"/>
    <w:rsid w:val="0047583F"/>
    <w:rsid w:val="00484936"/>
    <w:rsid w:val="00485C89"/>
    <w:rsid w:val="00486BE3"/>
    <w:rsid w:val="004905E4"/>
    <w:rsid w:val="00490A89"/>
    <w:rsid w:val="00490AB4"/>
    <w:rsid w:val="004920D8"/>
    <w:rsid w:val="00492F02"/>
    <w:rsid w:val="004939AE"/>
    <w:rsid w:val="004A12DF"/>
    <w:rsid w:val="004A1BA8"/>
    <w:rsid w:val="004A4B57"/>
    <w:rsid w:val="004A63FA"/>
    <w:rsid w:val="004B0272"/>
    <w:rsid w:val="004B2701"/>
    <w:rsid w:val="004B2E1B"/>
    <w:rsid w:val="004B3E93"/>
    <w:rsid w:val="004C1FBC"/>
    <w:rsid w:val="004C3F1D"/>
    <w:rsid w:val="004C458D"/>
    <w:rsid w:val="004C7556"/>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767"/>
    <w:rsid w:val="005073F0"/>
    <w:rsid w:val="00510A7B"/>
    <w:rsid w:val="00512F6E"/>
    <w:rsid w:val="00513038"/>
    <w:rsid w:val="00514174"/>
    <w:rsid w:val="00516088"/>
    <w:rsid w:val="00516B0B"/>
    <w:rsid w:val="005207F4"/>
    <w:rsid w:val="005220EC"/>
    <w:rsid w:val="00523297"/>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3544"/>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2A87"/>
    <w:rsid w:val="005D4171"/>
    <w:rsid w:val="005D6A95"/>
    <w:rsid w:val="005D6B2C"/>
    <w:rsid w:val="005D6D9C"/>
    <w:rsid w:val="005E2335"/>
    <w:rsid w:val="005E34CA"/>
    <w:rsid w:val="005E3C18"/>
    <w:rsid w:val="005E6318"/>
    <w:rsid w:val="005E6812"/>
    <w:rsid w:val="005E7829"/>
    <w:rsid w:val="005E7881"/>
    <w:rsid w:val="005E78E0"/>
    <w:rsid w:val="005F0D9C"/>
    <w:rsid w:val="005F284E"/>
    <w:rsid w:val="006015CE"/>
    <w:rsid w:val="00604784"/>
    <w:rsid w:val="00606419"/>
    <w:rsid w:val="00607D29"/>
    <w:rsid w:val="00612952"/>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528D"/>
    <w:rsid w:val="00645904"/>
    <w:rsid w:val="00651ACB"/>
    <w:rsid w:val="00651C47"/>
    <w:rsid w:val="00652AB2"/>
    <w:rsid w:val="00654EC0"/>
    <w:rsid w:val="0065525B"/>
    <w:rsid w:val="00655D4F"/>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2977"/>
    <w:rsid w:val="006A07AA"/>
    <w:rsid w:val="006A25E5"/>
    <w:rsid w:val="006A2B46"/>
    <w:rsid w:val="006A336D"/>
    <w:rsid w:val="006A37B9"/>
    <w:rsid w:val="006B2672"/>
    <w:rsid w:val="006B54BF"/>
    <w:rsid w:val="006B5F44"/>
    <w:rsid w:val="006B5F90"/>
    <w:rsid w:val="006B62E4"/>
    <w:rsid w:val="006B7562"/>
    <w:rsid w:val="006C1BBA"/>
    <w:rsid w:val="006C2079"/>
    <w:rsid w:val="006C317D"/>
    <w:rsid w:val="006C5A62"/>
    <w:rsid w:val="006C5D68"/>
    <w:rsid w:val="006C6976"/>
    <w:rsid w:val="006C6DD0"/>
    <w:rsid w:val="006D04EA"/>
    <w:rsid w:val="006D16C4"/>
    <w:rsid w:val="006D3E96"/>
    <w:rsid w:val="006D4515"/>
    <w:rsid w:val="006D4BB1"/>
    <w:rsid w:val="006D6593"/>
    <w:rsid w:val="006D686E"/>
    <w:rsid w:val="006F03A8"/>
    <w:rsid w:val="006F126C"/>
    <w:rsid w:val="006F2ACA"/>
    <w:rsid w:val="006F2ADC"/>
    <w:rsid w:val="006F2BFE"/>
    <w:rsid w:val="006F31E9"/>
    <w:rsid w:val="006F56E5"/>
    <w:rsid w:val="006F6284"/>
    <w:rsid w:val="007002C5"/>
    <w:rsid w:val="0070348B"/>
    <w:rsid w:val="00704387"/>
    <w:rsid w:val="00707669"/>
    <w:rsid w:val="00711CBA"/>
    <w:rsid w:val="00711FB5"/>
    <w:rsid w:val="00712A01"/>
    <w:rsid w:val="00714F58"/>
    <w:rsid w:val="00722FBF"/>
    <w:rsid w:val="00722FC2"/>
    <w:rsid w:val="00725949"/>
    <w:rsid w:val="00727FA2"/>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5C43"/>
    <w:rsid w:val="00765EFB"/>
    <w:rsid w:val="007671CA"/>
    <w:rsid w:val="0076744F"/>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2CD6"/>
    <w:rsid w:val="007B5A3D"/>
    <w:rsid w:val="007B5B95"/>
    <w:rsid w:val="007B68EA"/>
    <w:rsid w:val="007B7453"/>
    <w:rsid w:val="007C2D89"/>
    <w:rsid w:val="007C4593"/>
    <w:rsid w:val="007C5309"/>
    <w:rsid w:val="007C6069"/>
    <w:rsid w:val="007D06C4"/>
    <w:rsid w:val="007D1352"/>
    <w:rsid w:val="007D2508"/>
    <w:rsid w:val="007D346A"/>
    <w:rsid w:val="007D6518"/>
    <w:rsid w:val="007D76BD"/>
    <w:rsid w:val="007E0BF1"/>
    <w:rsid w:val="007E0D02"/>
    <w:rsid w:val="007E258B"/>
    <w:rsid w:val="007F0ED8"/>
    <w:rsid w:val="007F0F63"/>
    <w:rsid w:val="007F3748"/>
    <w:rsid w:val="007F75CE"/>
    <w:rsid w:val="008013A4"/>
    <w:rsid w:val="008027CE"/>
    <w:rsid w:val="00802F42"/>
    <w:rsid w:val="00804383"/>
    <w:rsid w:val="00804BB7"/>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5173A"/>
    <w:rsid w:val="00854343"/>
    <w:rsid w:val="008562FB"/>
    <w:rsid w:val="00860297"/>
    <w:rsid w:val="008603CE"/>
    <w:rsid w:val="008620FC"/>
    <w:rsid w:val="008627A5"/>
    <w:rsid w:val="00863E05"/>
    <w:rsid w:val="0086431E"/>
    <w:rsid w:val="00865ACA"/>
    <w:rsid w:val="00865D28"/>
    <w:rsid w:val="00865F85"/>
    <w:rsid w:val="00867C10"/>
    <w:rsid w:val="00870439"/>
    <w:rsid w:val="00870DA1"/>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8DC"/>
    <w:rsid w:val="008F70BD"/>
    <w:rsid w:val="008F788F"/>
    <w:rsid w:val="008F7EA2"/>
    <w:rsid w:val="00902722"/>
    <w:rsid w:val="009027BC"/>
    <w:rsid w:val="009062E6"/>
    <w:rsid w:val="00911AF6"/>
    <w:rsid w:val="00911BE5"/>
    <w:rsid w:val="00913CA9"/>
    <w:rsid w:val="009145AE"/>
    <w:rsid w:val="009146CE"/>
    <w:rsid w:val="00914CA7"/>
    <w:rsid w:val="00915C3E"/>
    <w:rsid w:val="009161A8"/>
    <w:rsid w:val="009245F5"/>
    <w:rsid w:val="009249EC"/>
    <w:rsid w:val="009273B3"/>
    <w:rsid w:val="009305B5"/>
    <w:rsid w:val="00941FA3"/>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D112C"/>
    <w:rsid w:val="009D47FA"/>
    <w:rsid w:val="009D50D2"/>
    <w:rsid w:val="009D6BCA"/>
    <w:rsid w:val="009D72B9"/>
    <w:rsid w:val="009E0F62"/>
    <w:rsid w:val="009E1848"/>
    <w:rsid w:val="009E4A58"/>
    <w:rsid w:val="009E5A2D"/>
    <w:rsid w:val="009E5AB2"/>
    <w:rsid w:val="009E6219"/>
    <w:rsid w:val="009F03B3"/>
    <w:rsid w:val="00A01757"/>
    <w:rsid w:val="00A028C0"/>
    <w:rsid w:val="00A02BAE"/>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4006C"/>
    <w:rsid w:val="00A40091"/>
    <w:rsid w:val="00A4030F"/>
    <w:rsid w:val="00A41C79"/>
    <w:rsid w:val="00A41CB5"/>
    <w:rsid w:val="00A42CDF"/>
    <w:rsid w:val="00A4307B"/>
    <w:rsid w:val="00A4452E"/>
    <w:rsid w:val="00A4472C"/>
    <w:rsid w:val="00A44E69"/>
    <w:rsid w:val="00A4661E"/>
    <w:rsid w:val="00A55BD6"/>
    <w:rsid w:val="00A55D50"/>
    <w:rsid w:val="00A57142"/>
    <w:rsid w:val="00A61D48"/>
    <w:rsid w:val="00A648CD"/>
    <w:rsid w:val="00A6537A"/>
    <w:rsid w:val="00A67866"/>
    <w:rsid w:val="00A70B07"/>
    <w:rsid w:val="00A723F8"/>
    <w:rsid w:val="00A77CCB"/>
    <w:rsid w:val="00A83D8D"/>
    <w:rsid w:val="00A83E19"/>
    <w:rsid w:val="00A8446B"/>
    <w:rsid w:val="00A8473F"/>
    <w:rsid w:val="00A862D6"/>
    <w:rsid w:val="00A8715E"/>
    <w:rsid w:val="00A87647"/>
    <w:rsid w:val="00A9295B"/>
    <w:rsid w:val="00A93B09"/>
    <w:rsid w:val="00A952D7"/>
    <w:rsid w:val="00A963F7"/>
    <w:rsid w:val="00A96AD8"/>
    <w:rsid w:val="00AA052C"/>
    <w:rsid w:val="00AA1E45"/>
    <w:rsid w:val="00AA30E6"/>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5D89"/>
    <w:rsid w:val="00AE070A"/>
    <w:rsid w:val="00AE101C"/>
    <w:rsid w:val="00AE232F"/>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432"/>
    <w:rsid w:val="00B447A5"/>
    <w:rsid w:val="00B4654C"/>
    <w:rsid w:val="00B47293"/>
    <w:rsid w:val="00B50E50"/>
    <w:rsid w:val="00B52120"/>
    <w:rsid w:val="00B54ABC"/>
    <w:rsid w:val="00B56FBE"/>
    <w:rsid w:val="00B62B58"/>
    <w:rsid w:val="00B65149"/>
    <w:rsid w:val="00B66567"/>
    <w:rsid w:val="00B66F52"/>
    <w:rsid w:val="00B66FE5"/>
    <w:rsid w:val="00B72880"/>
    <w:rsid w:val="00B758BF"/>
    <w:rsid w:val="00B827A6"/>
    <w:rsid w:val="00B831CE"/>
    <w:rsid w:val="00B86677"/>
    <w:rsid w:val="00B87131"/>
    <w:rsid w:val="00B939B1"/>
    <w:rsid w:val="00B96D40"/>
    <w:rsid w:val="00B97386"/>
    <w:rsid w:val="00B978DB"/>
    <w:rsid w:val="00BA263B"/>
    <w:rsid w:val="00BA42B2"/>
    <w:rsid w:val="00BA58D4"/>
    <w:rsid w:val="00BA5B9E"/>
    <w:rsid w:val="00BA7C9A"/>
    <w:rsid w:val="00BB5F8F"/>
    <w:rsid w:val="00BB657A"/>
    <w:rsid w:val="00BC1A4E"/>
    <w:rsid w:val="00BC5DC7"/>
    <w:rsid w:val="00BC6B41"/>
    <w:rsid w:val="00BC6B8B"/>
    <w:rsid w:val="00BC73D8"/>
    <w:rsid w:val="00BD52D7"/>
    <w:rsid w:val="00BD5AD2"/>
    <w:rsid w:val="00BE22F3"/>
    <w:rsid w:val="00BE5B52"/>
    <w:rsid w:val="00BE7B8D"/>
    <w:rsid w:val="00BF0993"/>
    <w:rsid w:val="00BF10A9"/>
    <w:rsid w:val="00BF1703"/>
    <w:rsid w:val="00BF231C"/>
    <w:rsid w:val="00BF51E5"/>
    <w:rsid w:val="00BF74A6"/>
    <w:rsid w:val="00BF7718"/>
    <w:rsid w:val="00C013AD"/>
    <w:rsid w:val="00C020FB"/>
    <w:rsid w:val="00C04904"/>
    <w:rsid w:val="00C056B3"/>
    <w:rsid w:val="00C103E5"/>
    <w:rsid w:val="00C13319"/>
    <w:rsid w:val="00C13EE9"/>
    <w:rsid w:val="00C21540"/>
    <w:rsid w:val="00C21906"/>
    <w:rsid w:val="00C21BFA"/>
    <w:rsid w:val="00C24C8D"/>
    <w:rsid w:val="00C25FE2"/>
    <w:rsid w:val="00C260F4"/>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6741"/>
    <w:rsid w:val="00CA2D1B"/>
    <w:rsid w:val="00CA61A4"/>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EEF"/>
    <w:rsid w:val="00CE0C4F"/>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3333"/>
    <w:rsid w:val="00D34CB7"/>
    <w:rsid w:val="00D352A2"/>
    <w:rsid w:val="00D4162B"/>
    <w:rsid w:val="00D4514F"/>
    <w:rsid w:val="00D451E2"/>
    <w:rsid w:val="00D45E89"/>
    <w:rsid w:val="00D45E8D"/>
    <w:rsid w:val="00D466AE"/>
    <w:rsid w:val="00D4734F"/>
    <w:rsid w:val="00D51865"/>
    <w:rsid w:val="00D51BF3"/>
    <w:rsid w:val="00D54B98"/>
    <w:rsid w:val="00D56D85"/>
    <w:rsid w:val="00D66846"/>
    <w:rsid w:val="00D675FB"/>
    <w:rsid w:val="00D71F25"/>
    <w:rsid w:val="00D77031"/>
    <w:rsid w:val="00D81136"/>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38EE"/>
    <w:rsid w:val="00DB498B"/>
    <w:rsid w:val="00DB66CA"/>
    <w:rsid w:val="00DB6BCA"/>
    <w:rsid w:val="00DB7113"/>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4A10"/>
    <w:rsid w:val="00E01138"/>
    <w:rsid w:val="00E02DFB"/>
    <w:rsid w:val="00E030F9"/>
    <w:rsid w:val="00E0311A"/>
    <w:rsid w:val="00E03138"/>
    <w:rsid w:val="00E06404"/>
    <w:rsid w:val="00E11A85"/>
    <w:rsid w:val="00E12495"/>
    <w:rsid w:val="00E15CCD"/>
    <w:rsid w:val="00E15D9E"/>
    <w:rsid w:val="00E202EF"/>
    <w:rsid w:val="00E210B5"/>
    <w:rsid w:val="00E2552F"/>
    <w:rsid w:val="00E30FAC"/>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4B63"/>
    <w:rsid w:val="00E74C54"/>
    <w:rsid w:val="00E77A03"/>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9D5"/>
    <w:rsid w:val="00EA58D1"/>
    <w:rsid w:val="00EA61BC"/>
    <w:rsid w:val="00EA681A"/>
    <w:rsid w:val="00EA735B"/>
    <w:rsid w:val="00EB1E69"/>
    <w:rsid w:val="00EB2086"/>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1542"/>
    <w:rsid w:val="00F06D37"/>
    <w:rsid w:val="00F07B9D"/>
    <w:rsid w:val="00F10926"/>
    <w:rsid w:val="00F11586"/>
    <w:rsid w:val="00F1183B"/>
    <w:rsid w:val="00F11C9F"/>
    <w:rsid w:val="00F12263"/>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77D98"/>
    <w:rsid w:val="00F81D01"/>
    <w:rsid w:val="00F833BA"/>
    <w:rsid w:val="00F84FD0"/>
    <w:rsid w:val="00F859A8"/>
    <w:rsid w:val="00F86C8B"/>
    <w:rsid w:val="00F9108B"/>
    <w:rsid w:val="00F91349"/>
    <w:rsid w:val="00F93A8A"/>
    <w:rsid w:val="00F95248"/>
    <w:rsid w:val="00F956A9"/>
    <w:rsid w:val="00F963ED"/>
    <w:rsid w:val="00F966CF"/>
    <w:rsid w:val="00F96CAE"/>
    <w:rsid w:val="00F97C99"/>
    <w:rsid w:val="00FA662D"/>
    <w:rsid w:val="00FA6730"/>
    <w:rsid w:val="00FA73B1"/>
    <w:rsid w:val="00FB0CB9"/>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13B0DE8"/>
    <w:rsid w:val="013E61E2"/>
    <w:rsid w:val="01DB1C83"/>
    <w:rsid w:val="020B7446"/>
    <w:rsid w:val="02247ACE"/>
    <w:rsid w:val="024B6E08"/>
    <w:rsid w:val="027345B1"/>
    <w:rsid w:val="029B0F4D"/>
    <w:rsid w:val="02E90C11"/>
    <w:rsid w:val="02EB239A"/>
    <w:rsid w:val="0337738D"/>
    <w:rsid w:val="035E700F"/>
    <w:rsid w:val="03802AE2"/>
    <w:rsid w:val="038F0F77"/>
    <w:rsid w:val="03936A9A"/>
    <w:rsid w:val="041A1DAA"/>
    <w:rsid w:val="04D71266"/>
    <w:rsid w:val="05017C52"/>
    <w:rsid w:val="05383DBD"/>
    <w:rsid w:val="056D7D96"/>
    <w:rsid w:val="057E74F5"/>
    <w:rsid w:val="05D13AC9"/>
    <w:rsid w:val="05E25CD6"/>
    <w:rsid w:val="062067FE"/>
    <w:rsid w:val="06370BD1"/>
    <w:rsid w:val="071740BE"/>
    <w:rsid w:val="072126BE"/>
    <w:rsid w:val="074107DA"/>
    <w:rsid w:val="0741664E"/>
    <w:rsid w:val="074402CA"/>
    <w:rsid w:val="074B2F2B"/>
    <w:rsid w:val="076C2B3D"/>
    <w:rsid w:val="07837045"/>
    <w:rsid w:val="07DA46D5"/>
    <w:rsid w:val="07F22FA2"/>
    <w:rsid w:val="08191417"/>
    <w:rsid w:val="08267E19"/>
    <w:rsid w:val="082A74C0"/>
    <w:rsid w:val="089112ED"/>
    <w:rsid w:val="08973D1E"/>
    <w:rsid w:val="08C94F2B"/>
    <w:rsid w:val="08D631A4"/>
    <w:rsid w:val="08FB2C0B"/>
    <w:rsid w:val="09075A53"/>
    <w:rsid w:val="096133B5"/>
    <w:rsid w:val="098B21E0"/>
    <w:rsid w:val="09DC47EA"/>
    <w:rsid w:val="0A3742EA"/>
    <w:rsid w:val="0A49096C"/>
    <w:rsid w:val="0AAE6112"/>
    <w:rsid w:val="0B510CC2"/>
    <w:rsid w:val="0B61144B"/>
    <w:rsid w:val="0B7373D0"/>
    <w:rsid w:val="0BA37CB5"/>
    <w:rsid w:val="0C7015F6"/>
    <w:rsid w:val="0C8F023A"/>
    <w:rsid w:val="0C96783C"/>
    <w:rsid w:val="0C9B6BDE"/>
    <w:rsid w:val="0CA666F2"/>
    <w:rsid w:val="0CA912FB"/>
    <w:rsid w:val="0CAC0DEC"/>
    <w:rsid w:val="0CB24D02"/>
    <w:rsid w:val="0CB934A7"/>
    <w:rsid w:val="0CBD4DA7"/>
    <w:rsid w:val="0CF06F2A"/>
    <w:rsid w:val="0CF7697F"/>
    <w:rsid w:val="0CF9720F"/>
    <w:rsid w:val="0D205F98"/>
    <w:rsid w:val="0D397A5A"/>
    <w:rsid w:val="0D985311"/>
    <w:rsid w:val="0DA21B9C"/>
    <w:rsid w:val="0DEE2D3E"/>
    <w:rsid w:val="0E323572"/>
    <w:rsid w:val="0E5E4367"/>
    <w:rsid w:val="0E6D5BB9"/>
    <w:rsid w:val="0EA9659D"/>
    <w:rsid w:val="0EAA135B"/>
    <w:rsid w:val="0EAE0E4B"/>
    <w:rsid w:val="0ED9579C"/>
    <w:rsid w:val="0EF962AB"/>
    <w:rsid w:val="0F1C5EFC"/>
    <w:rsid w:val="0F576C9E"/>
    <w:rsid w:val="0FAB7138"/>
    <w:rsid w:val="0FDE5F96"/>
    <w:rsid w:val="0FF860F6"/>
    <w:rsid w:val="1024598E"/>
    <w:rsid w:val="105310CD"/>
    <w:rsid w:val="105517FE"/>
    <w:rsid w:val="107C0AD5"/>
    <w:rsid w:val="108C091C"/>
    <w:rsid w:val="10971222"/>
    <w:rsid w:val="10982F83"/>
    <w:rsid w:val="1105198B"/>
    <w:rsid w:val="11346DAD"/>
    <w:rsid w:val="11364E51"/>
    <w:rsid w:val="115C628C"/>
    <w:rsid w:val="117479FE"/>
    <w:rsid w:val="118045F5"/>
    <w:rsid w:val="118101AE"/>
    <w:rsid w:val="119F4A7B"/>
    <w:rsid w:val="11A6405B"/>
    <w:rsid w:val="11B61661"/>
    <w:rsid w:val="11E82659"/>
    <w:rsid w:val="120B2110"/>
    <w:rsid w:val="12326C83"/>
    <w:rsid w:val="126637EB"/>
    <w:rsid w:val="1279042F"/>
    <w:rsid w:val="1289734F"/>
    <w:rsid w:val="12E71E34"/>
    <w:rsid w:val="12FE379E"/>
    <w:rsid w:val="13693232"/>
    <w:rsid w:val="13947D4D"/>
    <w:rsid w:val="13DA623E"/>
    <w:rsid w:val="14047949"/>
    <w:rsid w:val="14403A45"/>
    <w:rsid w:val="144A7F81"/>
    <w:rsid w:val="14755F67"/>
    <w:rsid w:val="14897755"/>
    <w:rsid w:val="14C95AF3"/>
    <w:rsid w:val="15003A82"/>
    <w:rsid w:val="15107A3E"/>
    <w:rsid w:val="15164B54"/>
    <w:rsid w:val="154871D8"/>
    <w:rsid w:val="1579275D"/>
    <w:rsid w:val="15854FAB"/>
    <w:rsid w:val="15DE4F2F"/>
    <w:rsid w:val="15E931DA"/>
    <w:rsid w:val="161D66CD"/>
    <w:rsid w:val="1662251B"/>
    <w:rsid w:val="16946B78"/>
    <w:rsid w:val="16BD34A4"/>
    <w:rsid w:val="16EA3D36"/>
    <w:rsid w:val="1740285C"/>
    <w:rsid w:val="177047B1"/>
    <w:rsid w:val="1798559B"/>
    <w:rsid w:val="181451A4"/>
    <w:rsid w:val="182932F0"/>
    <w:rsid w:val="185C5798"/>
    <w:rsid w:val="19020F76"/>
    <w:rsid w:val="195218C7"/>
    <w:rsid w:val="19AD1853"/>
    <w:rsid w:val="19E80F89"/>
    <w:rsid w:val="19ED5077"/>
    <w:rsid w:val="19F87CF8"/>
    <w:rsid w:val="1A2E2E40"/>
    <w:rsid w:val="1A5B14D5"/>
    <w:rsid w:val="1A6C3968"/>
    <w:rsid w:val="1AB53561"/>
    <w:rsid w:val="1AD05CA5"/>
    <w:rsid w:val="1AF851FC"/>
    <w:rsid w:val="1B444464"/>
    <w:rsid w:val="1C2019B2"/>
    <w:rsid w:val="1C232937"/>
    <w:rsid w:val="1C84035C"/>
    <w:rsid w:val="1C90180A"/>
    <w:rsid w:val="1CB3335D"/>
    <w:rsid w:val="1CB44504"/>
    <w:rsid w:val="1CBF06C7"/>
    <w:rsid w:val="1CD11779"/>
    <w:rsid w:val="1CD557F5"/>
    <w:rsid w:val="1CFE203E"/>
    <w:rsid w:val="1D3E1AE8"/>
    <w:rsid w:val="1D412E8A"/>
    <w:rsid w:val="1D6152DA"/>
    <w:rsid w:val="1D9C6312"/>
    <w:rsid w:val="1DA578BD"/>
    <w:rsid w:val="1DE37048"/>
    <w:rsid w:val="1E293DC9"/>
    <w:rsid w:val="1E592455"/>
    <w:rsid w:val="1F4629DA"/>
    <w:rsid w:val="1F5A46D7"/>
    <w:rsid w:val="1F7D0E8D"/>
    <w:rsid w:val="1F7E2174"/>
    <w:rsid w:val="1FF55619"/>
    <w:rsid w:val="1FFB71EF"/>
    <w:rsid w:val="2011123A"/>
    <w:rsid w:val="202F6FF1"/>
    <w:rsid w:val="20586BFF"/>
    <w:rsid w:val="206F32C6"/>
    <w:rsid w:val="20A206AE"/>
    <w:rsid w:val="20BA3FD1"/>
    <w:rsid w:val="20E97432"/>
    <w:rsid w:val="21167384"/>
    <w:rsid w:val="2136082C"/>
    <w:rsid w:val="21703D3E"/>
    <w:rsid w:val="221446F8"/>
    <w:rsid w:val="22A21F61"/>
    <w:rsid w:val="23135F56"/>
    <w:rsid w:val="23720E5B"/>
    <w:rsid w:val="239F4DAE"/>
    <w:rsid w:val="23B2431C"/>
    <w:rsid w:val="23E0203B"/>
    <w:rsid w:val="24101808"/>
    <w:rsid w:val="243110B4"/>
    <w:rsid w:val="24E862E1"/>
    <w:rsid w:val="2560231B"/>
    <w:rsid w:val="257152D6"/>
    <w:rsid w:val="25CB741F"/>
    <w:rsid w:val="25D80104"/>
    <w:rsid w:val="26013711"/>
    <w:rsid w:val="2604378E"/>
    <w:rsid w:val="2641214D"/>
    <w:rsid w:val="26435EC5"/>
    <w:rsid w:val="264F486A"/>
    <w:rsid w:val="26597496"/>
    <w:rsid w:val="268D6C84"/>
    <w:rsid w:val="26AC40FD"/>
    <w:rsid w:val="26C568DA"/>
    <w:rsid w:val="26D22DA5"/>
    <w:rsid w:val="26F251F5"/>
    <w:rsid w:val="26FD2518"/>
    <w:rsid w:val="2706199F"/>
    <w:rsid w:val="27187EB1"/>
    <w:rsid w:val="27191146"/>
    <w:rsid w:val="272555CB"/>
    <w:rsid w:val="272705E4"/>
    <w:rsid w:val="273247AF"/>
    <w:rsid w:val="278B636C"/>
    <w:rsid w:val="27A74232"/>
    <w:rsid w:val="281713B7"/>
    <w:rsid w:val="28526934"/>
    <w:rsid w:val="28AA3FD9"/>
    <w:rsid w:val="28C42788"/>
    <w:rsid w:val="28CE6F9F"/>
    <w:rsid w:val="28D46B7D"/>
    <w:rsid w:val="298F4F7D"/>
    <w:rsid w:val="29D55086"/>
    <w:rsid w:val="2A1A2BAD"/>
    <w:rsid w:val="2A1A5F20"/>
    <w:rsid w:val="2A1F27A5"/>
    <w:rsid w:val="2A222295"/>
    <w:rsid w:val="2A3A75DF"/>
    <w:rsid w:val="2A7B0D43"/>
    <w:rsid w:val="2A8C24C0"/>
    <w:rsid w:val="2A984505"/>
    <w:rsid w:val="2ABA24CE"/>
    <w:rsid w:val="2ABC5A31"/>
    <w:rsid w:val="2AE76B06"/>
    <w:rsid w:val="2B0025D7"/>
    <w:rsid w:val="2B7408CF"/>
    <w:rsid w:val="2B941177"/>
    <w:rsid w:val="2BB331A5"/>
    <w:rsid w:val="2BCC070B"/>
    <w:rsid w:val="2BF727FE"/>
    <w:rsid w:val="2C047EA4"/>
    <w:rsid w:val="2C405C02"/>
    <w:rsid w:val="2C610E53"/>
    <w:rsid w:val="2C974E26"/>
    <w:rsid w:val="2CC71744"/>
    <w:rsid w:val="2D142369"/>
    <w:rsid w:val="2D175AA2"/>
    <w:rsid w:val="2D364384"/>
    <w:rsid w:val="2D5433FD"/>
    <w:rsid w:val="2D864A37"/>
    <w:rsid w:val="2DE832DC"/>
    <w:rsid w:val="2E067F10"/>
    <w:rsid w:val="2E2E745B"/>
    <w:rsid w:val="2E312AA7"/>
    <w:rsid w:val="2E7A774E"/>
    <w:rsid w:val="2EA65243"/>
    <w:rsid w:val="2EEF10A1"/>
    <w:rsid w:val="2EEF5C10"/>
    <w:rsid w:val="2F466B3B"/>
    <w:rsid w:val="2FA5374C"/>
    <w:rsid w:val="2FAF42C8"/>
    <w:rsid w:val="2FE752D1"/>
    <w:rsid w:val="300A7A53"/>
    <w:rsid w:val="30304791"/>
    <w:rsid w:val="303B5E5F"/>
    <w:rsid w:val="304E7940"/>
    <w:rsid w:val="3069477A"/>
    <w:rsid w:val="309D614E"/>
    <w:rsid w:val="30F0112E"/>
    <w:rsid w:val="312D5A9E"/>
    <w:rsid w:val="313528AE"/>
    <w:rsid w:val="314D19A6"/>
    <w:rsid w:val="318D4498"/>
    <w:rsid w:val="31A11CF2"/>
    <w:rsid w:val="31E3055C"/>
    <w:rsid w:val="32686B23"/>
    <w:rsid w:val="32840A75"/>
    <w:rsid w:val="32AB5D01"/>
    <w:rsid w:val="32D3237F"/>
    <w:rsid w:val="33134959"/>
    <w:rsid w:val="332A7819"/>
    <w:rsid w:val="334376A7"/>
    <w:rsid w:val="33492641"/>
    <w:rsid w:val="33686F6B"/>
    <w:rsid w:val="33A900F6"/>
    <w:rsid w:val="33D31231"/>
    <w:rsid w:val="33D60378"/>
    <w:rsid w:val="34120C85"/>
    <w:rsid w:val="341D114F"/>
    <w:rsid w:val="349873DC"/>
    <w:rsid w:val="34A77AD0"/>
    <w:rsid w:val="34BF4CAA"/>
    <w:rsid w:val="35020CF9"/>
    <w:rsid w:val="351729F7"/>
    <w:rsid w:val="352D62CE"/>
    <w:rsid w:val="358F02C1"/>
    <w:rsid w:val="35986C99"/>
    <w:rsid w:val="35D01EDB"/>
    <w:rsid w:val="35E11274"/>
    <w:rsid w:val="35EF42A0"/>
    <w:rsid w:val="35F04FF6"/>
    <w:rsid w:val="360E3B2F"/>
    <w:rsid w:val="365C268B"/>
    <w:rsid w:val="36723C5D"/>
    <w:rsid w:val="367501B8"/>
    <w:rsid w:val="368470CC"/>
    <w:rsid w:val="376143FD"/>
    <w:rsid w:val="37981872"/>
    <w:rsid w:val="37EF44F2"/>
    <w:rsid w:val="38042FDA"/>
    <w:rsid w:val="38084878"/>
    <w:rsid w:val="382471D8"/>
    <w:rsid w:val="38510A7B"/>
    <w:rsid w:val="38811B6E"/>
    <w:rsid w:val="389B28F8"/>
    <w:rsid w:val="38F02E97"/>
    <w:rsid w:val="39447FDB"/>
    <w:rsid w:val="395B30CE"/>
    <w:rsid w:val="39CD5D7A"/>
    <w:rsid w:val="39E60BE9"/>
    <w:rsid w:val="39FE35D6"/>
    <w:rsid w:val="3A167A0E"/>
    <w:rsid w:val="3A240899"/>
    <w:rsid w:val="3AAB598F"/>
    <w:rsid w:val="3AD4069B"/>
    <w:rsid w:val="3B3720B6"/>
    <w:rsid w:val="3B434C68"/>
    <w:rsid w:val="3B4756B8"/>
    <w:rsid w:val="3B4B21D2"/>
    <w:rsid w:val="3B5B1163"/>
    <w:rsid w:val="3B660234"/>
    <w:rsid w:val="3B7A10AA"/>
    <w:rsid w:val="3B8F2C3B"/>
    <w:rsid w:val="3B9E5419"/>
    <w:rsid w:val="3B9F3746"/>
    <w:rsid w:val="3BE23632"/>
    <w:rsid w:val="3C137C90"/>
    <w:rsid w:val="3C1557B6"/>
    <w:rsid w:val="3C670048"/>
    <w:rsid w:val="3CE1265E"/>
    <w:rsid w:val="3D0F0457"/>
    <w:rsid w:val="3D211F38"/>
    <w:rsid w:val="3D513680"/>
    <w:rsid w:val="3D566C49"/>
    <w:rsid w:val="3D8F1791"/>
    <w:rsid w:val="3D98044D"/>
    <w:rsid w:val="3E0C4997"/>
    <w:rsid w:val="3E204318"/>
    <w:rsid w:val="3E2E7003"/>
    <w:rsid w:val="3E4F1453"/>
    <w:rsid w:val="3E676FE7"/>
    <w:rsid w:val="3E6A003B"/>
    <w:rsid w:val="3E907376"/>
    <w:rsid w:val="3F0538C0"/>
    <w:rsid w:val="3F0B3AFE"/>
    <w:rsid w:val="3FA550A3"/>
    <w:rsid w:val="40491ED2"/>
    <w:rsid w:val="404D5D77"/>
    <w:rsid w:val="405C7E57"/>
    <w:rsid w:val="40E65973"/>
    <w:rsid w:val="40EC0DD9"/>
    <w:rsid w:val="40EF3947"/>
    <w:rsid w:val="40FB4353"/>
    <w:rsid w:val="41263FC1"/>
    <w:rsid w:val="413B181B"/>
    <w:rsid w:val="41517290"/>
    <w:rsid w:val="41522043"/>
    <w:rsid w:val="41B6246A"/>
    <w:rsid w:val="41D35EF7"/>
    <w:rsid w:val="41D97316"/>
    <w:rsid w:val="41EA1493"/>
    <w:rsid w:val="4207790D"/>
    <w:rsid w:val="42552DB0"/>
    <w:rsid w:val="426A06B9"/>
    <w:rsid w:val="42984A4B"/>
    <w:rsid w:val="42A17DA3"/>
    <w:rsid w:val="42BC6C22"/>
    <w:rsid w:val="42EB7271"/>
    <w:rsid w:val="430B346F"/>
    <w:rsid w:val="430C3285"/>
    <w:rsid w:val="43326355"/>
    <w:rsid w:val="43525542"/>
    <w:rsid w:val="437454B8"/>
    <w:rsid w:val="43876DC7"/>
    <w:rsid w:val="439B2A45"/>
    <w:rsid w:val="439F6551"/>
    <w:rsid w:val="44006D4C"/>
    <w:rsid w:val="44636591"/>
    <w:rsid w:val="44780F58"/>
    <w:rsid w:val="44C304A5"/>
    <w:rsid w:val="44FD4773"/>
    <w:rsid w:val="45486BFC"/>
    <w:rsid w:val="45DB35CC"/>
    <w:rsid w:val="45E83F3B"/>
    <w:rsid w:val="45FA7D5B"/>
    <w:rsid w:val="464229AA"/>
    <w:rsid w:val="465A48FC"/>
    <w:rsid w:val="46696CCB"/>
    <w:rsid w:val="46794B93"/>
    <w:rsid w:val="46860E2B"/>
    <w:rsid w:val="46895648"/>
    <w:rsid w:val="46D70238"/>
    <w:rsid w:val="46D87B0C"/>
    <w:rsid w:val="473C009B"/>
    <w:rsid w:val="473F1EFF"/>
    <w:rsid w:val="47613FA5"/>
    <w:rsid w:val="47BC2352"/>
    <w:rsid w:val="47C22C96"/>
    <w:rsid w:val="480002BC"/>
    <w:rsid w:val="48457423"/>
    <w:rsid w:val="48530866"/>
    <w:rsid w:val="488B752C"/>
    <w:rsid w:val="48B06F92"/>
    <w:rsid w:val="48E64CA6"/>
    <w:rsid w:val="48F76E74"/>
    <w:rsid w:val="490E0B33"/>
    <w:rsid w:val="49AF724A"/>
    <w:rsid w:val="49D1656A"/>
    <w:rsid w:val="49F64E79"/>
    <w:rsid w:val="4A075F7D"/>
    <w:rsid w:val="4A325785"/>
    <w:rsid w:val="4A800BE6"/>
    <w:rsid w:val="4ADB5E1D"/>
    <w:rsid w:val="4AE22767"/>
    <w:rsid w:val="4B797CED"/>
    <w:rsid w:val="4BCF3BD3"/>
    <w:rsid w:val="4BD74836"/>
    <w:rsid w:val="4C371778"/>
    <w:rsid w:val="4C7C718B"/>
    <w:rsid w:val="4C7F40B2"/>
    <w:rsid w:val="4C8F6EBF"/>
    <w:rsid w:val="4CEA67EB"/>
    <w:rsid w:val="4DDA23BB"/>
    <w:rsid w:val="4E232905"/>
    <w:rsid w:val="4E241889"/>
    <w:rsid w:val="4E5C1022"/>
    <w:rsid w:val="4EB01641"/>
    <w:rsid w:val="4ED80FF1"/>
    <w:rsid w:val="4EF37BD9"/>
    <w:rsid w:val="4F0A6CD0"/>
    <w:rsid w:val="4F534BF8"/>
    <w:rsid w:val="4F587A3C"/>
    <w:rsid w:val="4F717BF1"/>
    <w:rsid w:val="4FBF2D98"/>
    <w:rsid w:val="4FCA62BD"/>
    <w:rsid w:val="4FCC3F86"/>
    <w:rsid w:val="4FD33566"/>
    <w:rsid w:val="504711D4"/>
    <w:rsid w:val="50504BB7"/>
    <w:rsid w:val="507C3BFE"/>
    <w:rsid w:val="507E34D2"/>
    <w:rsid w:val="50966C31"/>
    <w:rsid w:val="50ED2406"/>
    <w:rsid w:val="50F419E6"/>
    <w:rsid w:val="51431169"/>
    <w:rsid w:val="514E65F3"/>
    <w:rsid w:val="51825244"/>
    <w:rsid w:val="5193599C"/>
    <w:rsid w:val="519A0805"/>
    <w:rsid w:val="51F53C68"/>
    <w:rsid w:val="52102850"/>
    <w:rsid w:val="525A3ACB"/>
    <w:rsid w:val="525D0267"/>
    <w:rsid w:val="52B23907"/>
    <w:rsid w:val="52C11D9C"/>
    <w:rsid w:val="52EA30A1"/>
    <w:rsid w:val="52FE6B4C"/>
    <w:rsid w:val="53105563"/>
    <w:rsid w:val="53127D55"/>
    <w:rsid w:val="53234C57"/>
    <w:rsid w:val="53343453"/>
    <w:rsid w:val="537D2167"/>
    <w:rsid w:val="53926B2B"/>
    <w:rsid w:val="53A94D22"/>
    <w:rsid w:val="53E2646E"/>
    <w:rsid w:val="544B5514"/>
    <w:rsid w:val="54560E40"/>
    <w:rsid w:val="546B0211"/>
    <w:rsid w:val="54C36F09"/>
    <w:rsid w:val="54C71C79"/>
    <w:rsid w:val="54DA0EF3"/>
    <w:rsid w:val="54DA7145"/>
    <w:rsid w:val="54F413E0"/>
    <w:rsid w:val="54F6306F"/>
    <w:rsid w:val="54FA3343"/>
    <w:rsid w:val="55586C21"/>
    <w:rsid w:val="556829A3"/>
    <w:rsid w:val="55A84C13"/>
    <w:rsid w:val="55F259B1"/>
    <w:rsid w:val="56464697"/>
    <w:rsid w:val="56653928"/>
    <w:rsid w:val="567D7B45"/>
    <w:rsid w:val="569F2107"/>
    <w:rsid w:val="56A31EE4"/>
    <w:rsid w:val="56BC7955"/>
    <w:rsid w:val="56BE37C3"/>
    <w:rsid w:val="56F269C8"/>
    <w:rsid w:val="575A1E69"/>
    <w:rsid w:val="579B0E0D"/>
    <w:rsid w:val="57BD5228"/>
    <w:rsid w:val="57E22340"/>
    <w:rsid w:val="57E75E01"/>
    <w:rsid w:val="58690F0C"/>
    <w:rsid w:val="59326E77"/>
    <w:rsid w:val="59943D66"/>
    <w:rsid w:val="59A0270B"/>
    <w:rsid w:val="59C759D8"/>
    <w:rsid w:val="59DB3743"/>
    <w:rsid w:val="5A2055FA"/>
    <w:rsid w:val="5A274BDA"/>
    <w:rsid w:val="5A3B2BD8"/>
    <w:rsid w:val="5A4B6B1B"/>
    <w:rsid w:val="5A5233BE"/>
    <w:rsid w:val="5A5A4FB0"/>
    <w:rsid w:val="5A83669F"/>
    <w:rsid w:val="5AA708CA"/>
    <w:rsid w:val="5AE1122D"/>
    <w:rsid w:val="5B345801"/>
    <w:rsid w:val="5B3951AC"/>
    <w:rsid w:val="5B555777"/>
    <w:rsid w:val="5B7F7AA4"/>
    <w:rsid w:val="5BAF30D9"/>
    <w:rsid w:val="5BEC78DC"/>
    <w:rsid w:val="5C3133BD"/>
    <w:rsid w:val="5C336931"/>
    <w:rsid w:val="5C58107B"/>
    <w:rsid w:val="5C59540E"/>
    <w:rsid w:val="5C7659A5"/>
    <w:rsid w:val="5C78171D"/>
    <w:rsid w:val="5C9522F3"/>
    <w:rsid w:val="5CA54208"/>
    <w:rsid w:val="5CA711F8"/>
    <w:rsid w:val="5CBD35D4"/>
    <w:rsid w:val="5CD66444"/>
    <w:rsid w:val="5D2C4296"/>
    <w:rsid w:val="5D3715D8"/>
    <w:rsid w:val="5D423AD9"/>
    <w:rsid w:val="5D487342"/>
    <w:rsid w:val="5D5A52C7"/>
    <w:rsid w:val="5D8B5480"/>
    <w:rsid w:val="5D946993"/>
    <w:rsid w:val="5DB669A1"/>
    <w:rsid w:val="5DBA4EB4"/>
    <w:rsid w:val="5DC10EA2"/>
    <w:rsid w:val="5DC307FA"/>
    <w:rsid w:val="5DC42740"/>
    <w:rsid w:val="5DD2614B"/>
    <w:rsid w:val="5DDE1A54"/>
    <w:rsid w:val="5DF5547E"/>
    <w:rsid w:val="5E6E75AC"/>
    <w:rsid w:val="5E937DA9"/>
    <w:rsid w:val="5ED510A9"/>
    <w:rsid w:val="5F107C5C"/>
    <w:rsid w:val="5F3E6C4E"/>
    <w:rsid w:val="5F5B0685"/>
    <w:rsid w:val="5F927999"/>
    <w:rsid w:val="5F9E149B"/>
    <w:rsid w:val="5FB06EF5"/>
    <w:rsid w:val="5FC133DB"/>
    <w:rsid w:val="5FCB425A"/>
    <w:rsid w:val="5FCE4022"/>
    <w:rsid w:val="5FD41360"/>
    <w:rsid w:val="5FF732A1"/>
    <w:rsid w:val="5FF923DA"/>
    <w:rsid w:val="5FFE3CFF"/>
    <w:rsid w:val="602B6AA7"/>
    <w:rsid w:val="605F4D5E"/>
    <w:rsid w:val="60967D57"/>
    <w:rsid w:val="609F196E"/>
    <w:rsid w:val="60A971FB"/>
    <w:rsid w:val="60AE790C"/>
    <w:rsid w:val="60C45638"/>
    <w:rsid w:val="61127BCE"/>
    <w:rsid w:val="61193A0B"/>
    <w:rsid w:val="611B6B1B"/>
    <w:rsid w:val="6129748A"/>
    <w:rsid w:val="61827EF9"/>
    <w:rsid w:val="61C947C9"/>
    <w:rsid w:val="620D321D"/>
    <w:rsid w:val="628F1E33"/>
    <w:rsid w:val="62DE42A4"/>
    <w:rsid w:val="63380AEB"/>
    <w:rsid w:val="63471527"/>
    <w:rsid w:val="63921D3E"/>
    <w:rsid w:val="63C20AAD"/>
    <w:rsid w:val="63CB3C77"/>
    <w:rsid w:val="63E31B72"/>
    <w:rsid w:val="64127E15"/>
    <w:rsid w:val="64144421"/>
    <w:rsid w:val="6429154F"/>
    <w:rsid w:val="64B67DBB"/>
    <w:rsid w:val="64C6694E"/>
    <w:rsid w:val="64CD1AD5"/>
    <w:rsid w:val="64EC6A22"/>
    <w:rsid w:val="65385EEE"/>
    <w:rsid w:val="654E5711"/>
    <w:rsid w:val="657A6506"/>
    <w:rsid w:val="65B23EF2"/>
    <w:rsid w:val="65E733A7"/>
    <w:rsid w:val="6639539F"/>
    <w:rsid w:val="664036B8"/>
    <w:rsid w:val="66AF3A6A"/>
    <w:rsid w:val="66E30D6D"/>
    <w:rsid w:val="66FB3677"/>
    <w:rsid w:val="67F97FFA"/>
    <w:rsid w:val="681903F3"/>
    <w:rsid w:val="6852376A"/>
    <w:rsid w:val="6884144A"/>
    <w:rsid w:val="68F465CF"/>
    <w:rsid w:val="690D7691"/>
    <w:rsid w:val="69A00928"/>
    <w:rsid w:val="69F32F6D"/>
    <w:rsid w:val="69F85C4B"/>
    <w:rsid w:val="6A554E4C"/>
    <w:rsid w:val="6A694D9B"/>
    <w:rsid w:val="6A6A0E44"/>
    <w:rsid w:val="6AA2357A"/>
    <w:rsid w:val="6B111D7A"/>
    <w:rsid w:val="6B3B4599"/>
    <w:rsid w:val="6B3C1D1C"/>
    <w:rsid w:val="6B43739A"/>
    <w:rsid w:val="6B563571"/>
    <w:rsid w:val="6B910106"/>
    <w:rsid w:val="6BB67B6C"/>
    <w:rsid w:val="6BC8505C"/>
    <w:rsid w:val="6BD36970"/>
    <w:rsid w:val="6BF13D3D"/>
    <w:rsid w:val="6BFB7C75"/>
    <w:rsid w:val="6C6C46CF"/>
    <w:rsid w:val="6C82739E"/>
    <w:rsid w:val="6C9003BD"/>
    <w:rsid w:val="6C9C4FB4"/>
    <w:rsid w:val="6CB322FE"/>
    <w:rsid w:val="6CC158AD"/>
    <w:rsid w:val="6CC24944"/>
    <w:rsid w:val="6CC422B2"/>
    <w:rsid w:val="6CD57C73"/>
    <w:rsid w:val="6CF43042"/>
    <w:rsid w:val="6D1859BB"/>
    <w:rsid w:val="6D2C16A8"/>
    <w:rsid w:val="6DAD3BA8"/>
    <w:rsid w:val="6DB9657F"/>
    <w:rsid w:val="6DF02BC2"/>
    <w:rsid w:val="6E0C7B11"/>
    <w:rsid w:val="6E7A1325"/>
    <w:rsid w:val="6E7F06E9"/>
    <w:rsid w:val="6E922B12"/>
    <w:rsid w:val="6EE37A30"/>
    <w:rsid w:val="6F631DB9"/>
    <w:rsid w:val="6F704695"/>
    <w:rsid w:val="6F881820"/>
    <w:rsid w:val="6F9957DB"/>
    <w:rsid w:val="6F9D65B5"/>
    <w:rsid w:val="703D6AAE"/>
    <w:rsid w:val="703F3234"/>
    <w:rsid w:val="704241B9"/>
    <w:rsid w:val="709C6820"/>
    <w:rsid w:val="70BE01D5"/>
    <w:rsid w:val="70C41EB3"/>
    <w:rsid w:val="70FC0CF6"/>
    <w:rsid w:val="716B1B75"/>
    <w:rsid w:val="716C6002"/>
    <w:rsid w:val="71876217"/>
    <w:rsid w:val="718D136F"/>
    <w:rsid w:val="71F17B50"/>
    <w:rsid w:val="71F66F14"/>
    <w:rsid w:val="71FE401B"/>
    <w:rsid w:val="7238577F"/>
    <w:rsid w:val="72402885"/>
    <w:rsid w:val="729F75BD"/>
    <w:rsid w:val="72C9287B"/>
    <w:rsid w:val="7310016F"/>
    <w:rsid w:val="731E7DE9"/>
    <w:rsid w:val="734C5BFD"/>
    <w:rsid w:val="734D7008"/>
    <w:rsid w:val="735171B2"/>
    <w:rsid w:val="736A5E0C"/>
    <w:rsid w:val="738467A2"/>
    <w:rsid w:val="73951FDA"/>
    <w:rsid w:val="73C92407"/>
    <w:rsid w:val="74173885"/>
    <w:rsid w:val="741F6689"/>
    <w:rsid w:val="744511DB"/>
    <w:rsid w:val="745A323A"/>
    <w:rsid w:val="74D3178F"/>
    <w:rsid w:val="74DF3CDB"/>
    <w:rsid w:val="75640639"/>
    <w:rsid w:val="75973D58"/>
    <w:rsid w:val="759A22AD"/>
    <w:rsid w:val="75BA64AB"/>
    <w:rsid w:val="75FF0C10"/>
    <w:rsid w:val="762B1026"/>
    <w:rsid w:val="76744178"/>
    <w:rsid w:val="76EC6B38"/>
    <w:rsid w:val="76EE465E"/>
    <w:rsid w:val="76FE5846"/>
    <w:rsid w:val="773E7BB3"/>
    <w:rsid w:val="77AB69F3"/>
    <w:rsid w:val="77DA2E34"/>
    <w:rsid w:val="77FC6D03"/>
    <w:rsid w:val="78174088"/>
    <w:rsid w:val="782D178F"/>
    <w:rsid w:val="78A97A5F"/>
    <w:rsid w:val="78C7785D"/>
    <w:rsid w:val="78D36201"/>
    <w:rsid w:val="78EC1071"/>
    <w:rsid w:val="790F6B0E"/>
    <w:rsid w:val="792620AF"/>
    <w:rsid w:val="79C922CD"/>
    <w:rsid w:val="7A0348C4"/>
    <w:rsid w:val="7A150154"/>
    <w:rsid w:val="7A5C2B58"/>
    <w:rsid w:val="7AE534E4"/>
    <w:rsid w:val="7B035A61"/>
    <w:rsid w:val="7B1330E0"/>
    <w:rsid w:val="7B922DF8"/>
    <w:rsid w:val="7BB85132"/>
    <w:rsid w:val="7BF24BF0"/>
    <w:rsid w:val="7C09112C"/>
    <w:rsid w:val="7C127041"/>
    <w:rsid w:val="7C490589"/>
    <w:rsid w:val="7C6B04FF"/>
    <w:rsid w:val="7C7E6484"/>
    <w:rsid w:val="7CBB76D8"/>
    <w:rsid w:val="7CF16C56"/>
    <w:rsid w:val="7D225061"/>
    <w:rsid w:val="7D2F777E"/>
    <w:rsid w:val="7D521855"/>
    <w:rsid w:val="7D623654"/>
    <w:rsid w:val="7D7B29C4"/>
    <w:rsid w:val="7DC861E9"/>
    <w:rsid w:val="7E257EF5"/>
    <w:rsid w:val="7E466AB8"/>
    <w:rsid w:val="7EA877E8"/>
    <w:rsid w:val="7EB22415"/>
    <w:rsid w:val="7EBE0DBA"/>
    <w:rsid w:val="7EC871EC"/>
    <w:rsid w:val="7EF00320"/>
    <w:rsid w:val="7EF944E8"/>
    <w:rsid w:val="7F741DC0"/>
    <w:rsid w:val="7F7E679B"/>
  </w:rsids>
  <m:mathPr>
    <m:mathFont m:val="Cambria Math"/>
    <m:brkBin m:val="before"/>
    <m:brkBinSub m:val="--"/>
    <m:smallFrac m:val="0"/>
    <m:dispDef/>
    <m:lMargin m:val="56"/>
    <m:rMargin m:val="0"/>
    <m:defJc m:val="right"/>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paragraph" w:styleId="5">
    <w:name w:val="heading 4"/>
    <w:basedOn w:val="1"/>
    <w:next w:val="1"/>
    <w:link w:val="4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3"/>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4"/>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5"/>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6"/>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7"/>
    <w:qFormat/>
    <w:uiPriority w:val="0"/>
    <w:pPr>
      <w:keepNext/>
      <w:keepLines/>
      <w:adjustRightInd/>
      <w:spacing w:before="240" w:after="64" w:line="320"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link w:val="241"/>
    <w:semiHidden/>
    <w:unhideWhenUsed/>
    <w:qFormat/>
    <w:uiPriority w:val="99"/>
    <w:pPr>
      <w:jc w:val="left"/>
    </w:pPr>
  </w:style>
  <w:style w:type="paragraph" w:styleId="14">
    <w:name w:val="Body Text"/>
    <w:basedOn w:val="1"/>
    <w:link w:val="91"/>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50"/>
    <w:semiHidden/>
    <w:unhideWhenUsed/>
    <w:qFormat/>
    <w:uiPriority w:val="99"/>
    <w:rPr>
      <w:sz w:val="18"/>
      <w:szCs w:val="18"/>
    </w:rPr>
  </w:style>
  <w:style w:type="paragraph" w:styleId="18">
    <w:name w:val="footer"/>
    <w:basedOn w:val="1"/>
    <w:link w:val="49"/>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8"/>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List"/>
    <w:basedOn w:val="1"/>
    <w:unhideWhenUsed/>
    <w:qFormat/>
    <w:uiPriority w:val="0"/>
    <w:pPr>
      <w:ind w:left="200" w:hanging="200" w:hangingChars="200"/>
    </w:pPr>
  </w:style>
  <w:style w:type="paragraph" w:styleId="23">
    <w:name w:val="footnote text"/>
    <w:basedOn w:val="1"/>
    <w:next w:val="1"/>
    <w:link w:val="104"/>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unhideWhenUsed/>
    <w:qFormat/>
    <w:uiPriority w:val="39"/>
    <w:pPr>
      <w:spacing w:line="300" w:lineRule="exact"/>
      <w:ind w:left="1049"/>
    </w:pPr>
    <w:rPr>
      <w:rFonts w:ascii="宋体"/>
    </w:rPr>
  </w:style>
  <w:style w:type="paragraph" w:styleId="25">
    <w:name w:val="table of figures"/>
    <w:basedOn w:val="1"/>
    <w:next w:val="1"/>
    <w:semiHidden/>
    <w:qFormat/>
    <w:uiPriority w:val="0"/>
    <w:pPr>
      <w:adjustRightInd/>
      <w:spacing w:line="240" w:lineRule="auto"/>
      <w:jc w:val="left"/>
    </w:pPr>
    <w:rPr>
      <w:szCs w:val="24"/>
    </w:rPr>
  </w:style>
  <w:style w:type="paragraph" w:styleId="26">
    <w:name w:val="toc 2"/>
    <w:basedOn w:val="1"/>
    <w:next w:val="1"/>
    <w:unhideWhenUsed/>
    <w:qFormat/>
    <w:uiPriority w:val="39"/>
    <w:pPr>
      <w:tabs>
        <w:tab w:val="right" w:leader="dot" w:pos="9344"/>
      </w:tabs>
      <w:spacing w:line="300" w:lineRule="exact"/>
      <w:ind w:left="210"/>
    </w:pPr>
    <w:rPr>
      <w:rFonts w:ascii="宋体"/>
    </w:rPr>
  </w:style>
  <w:style w:type="paragraph" w:styleId="2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28">
    <w:name w:val="Title"/>
    <w:basedOn w:val="1"/>
    <w:link w:val="53"/>
    <w:qFormat/>
    <w:uiPriority w:val="0"/>
    <w:pPr>
      <w:spacing w:before="240" w:after="60"/>
      <w:jc w:val="center"/>
      <w:outlineLvl w:val="0"/>
    </w:pPr>
    <w:rPr>
      <w:rFonts w:ascii="Arial" w:hAnsi="Arial" w:cs="Arial"/>
      <w:b/>
      <w:bCs/>
      <w:sz w:val="32"/>
      <w:szCs w:val="32"/>
    </w:rPr>
  </w:style>
  <w:style w:type="paragraph" w:styleId="29">
    <w:name w:val="annotation subject"/>
    <w:basedOn w:val="13"/>
    <w:next w:val="13"/>
    <w:link w:val="242"/>
    <w:semiHidden/>
    <w:unhideWhenUsed/>
    <w:qFormat/>
    <w:uiPriority w:val="99"/>
    <w:rPr>
      <w:b/>
      <w:bCs/>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bCs/>
    </w:rPr>
  </w:style>
  <w:style w:type="character" w:styleId="34">
    <w:name w:val="page number"/>
    <w:qFormat/>
    <w:uiPriority w:val="0"/>
    <w:rPr>
      <w:rFonts w:ascii="宋体" w:hAnsi="Times New Roman" w:eastAsia="宋体"/>
      <w:sz w:val="18"/>
    </w:rPr>
  </w:style>
  <w:style w:type="character" w:styleId="35">
    <w:name w:val="Emphasis"/>
    <w:qFormat/>
    <w:uiPriority w:val="20"/>
    <w:rPr>
      <w:i/>
      <w:iCs/>
    </w:rPr>
  </w:style>
  <w:style w:type="character" w:styleId="36">
    <w:name w:val="Hyperlink"/>
    <w:qFormat/>
    <w:uiPriority w:val="99"/>
    <w:rPr>
      <w:rFonts w:ascii="宋体" w:hAnsi="Times New Roman" w:eastAsia="宋体"/>
      <w:color w:val="auto"/>
      <w:spacing w:val="0"/>
      <w:w w:val="100"/>
      <w:position w:val="0"/>
      <w:sz w:val="21"/>
      <w:u w:val="none"/>
      <w:vertAlign w:val="baseline"/>
    </w:rPr>
  </w:style>
  <w:style w:type="character" w:styleId="37">
    <w:name w:val="annotation reference"/>
    <w:basedOn w:val="32"/>
    <w:semiHidden/>
    <w:unhideWhenUsed/>
    <w:qFormat/>
    <w:uiPriority w:val="99"/>
    <w:rPr>
      <w:sz w:val="21"/>
      <w:szCs w:val="21"/>
    </w:rPr>
  </w:style>
  <w:style w:type="character" w:styleId="38">
    <w:name w:val="footnote reference"/>
    <w:semiHidden/>
    <w:qFormat/>
    <w:uiPriority w:val="0"/>
    <w:rPr>
      <w:rFonts w:ascii="宋体" w:hAnsi="宋体" w:eastAsia="宋体" w:cs="Times New Roman"/>
      <w:spacing w:val="0"/>
      <w:sz w:val="18"/>
      <w:vertAlign w:val="superscript"/>
    </w:rPr>
  </w:style>
  <w:style w:type="character" w:customStyle="1" w:styleId="39">
    <w:name w:val="标题 2 字符"/>
    <w:link w:val="3"/>
    <w:qFormat/>
    <w:uiPriority w:val="0"/>
    <w:rPr>
      <w:rFonts w:ascii="Arial" w:hAnsi="Arial" w:eastAsia="黑体"/>
      <w:b/>
      <w:bCs/>
      <w:kern w:val="2"/>
      <w:sz w:val="32"/>
      <w:szCs w:val="32"/>
    </w:rPr>
  </w:style>
  <w:style w:type="character" w:customStyle="1" w:styleId="40">
    <w:name w:val="标题 1 字符"/>
    <w:link w:val="2"/>
    <w:qFormat/>
    <w:uiPriority w:val="0"/>
    <w:rPr>
      <w:b/>
      <w:bCs/>
      <w:kern w:val="44"/>
      <w:sz w:val="44"/>
      <w:szCs w:val="44"/>
    </w:rPr>
  </w:style>
  <w:style w:type="character" w:customStyle="1" w:styleId="41">
    <w:name w:val="标题 3 字符"/>
    <w:link w:val="4"/>
    <w:qFormat/>
    <w:uiPriority w:val="0"/>
    <w:rPr>
      <w:b/>
      <w:bCs/>
      <w:kern w:val="2"/>
      <w:sz w:val="32"/>
      <w:szCs w:val="32"/>
    </w:rPr>
  </w:style>
  <w:style w:type="character" w:customStyle="1" w:styleId="42">
    <w:name w:val="标题 4 字符"/>
    <w:link w:val="5"/>
    <w:qFormat/>
    <w:uiPriority w:val="0"/>
    <w:rPr>
      <w:rFonts w:ascii="Arial" w:hAnsi="Arial" w:eastAsia="黑体"/>
      <w:b/>
      <w:bCs/>
      <w:kern w:val="2"/>
      <w:sz w:val="28"/>
      <w:szCs w:val="28"/>
    </w:rPr>
  </w:style>
  <w:style w:type="character" w:customStyle="1" w:styleId="43">
    <w:name w:val="标题 5 字符"/>
    <w:link w:val="6"/>
    <w:qFormat/>
    <w:uiPriority w:val="0"/>
    <w:rPr>
      <w:b/>
      <w:bCs/>
      <w:kern w:val="2"/>
      <w:sz w:val="28"/>
      <w:szCs w:val="28"/>
    </w:rPr>
  </w:style>
  <w:style w:type="character" w:customStyle="1" w:styleId="44">
    <w:name w:val="标题 6 字符"/>
    <w:link w:val="7"/>
    <w:qFormat/>
    <w:uiPriority w:val="0"/>
    <w:rPr>
      <w:rFonts w:ascii="Arial" w:hAnsi="Arial" w:eastAsia="黑体"/>
      <w:b/>
      <w:bCs/>
      <w:kern w:val="2"/>
      <w:sz w:val="24"/>
      <w:szCs w:val="24"/>
    </w:rPr>
  </w:style>
  <w:style w:type="character" w:customStyle="1" w:styleId="45">
    <w:name w:val="标题 7 字符"/>
    <w:link w:val="8"/>
    <w:qFormat/>
    <w:uiPriority w:val="0"/>
    <w:rPr>
      <w:b/>
      <w:bCs/>
      <w:kern w:val="2"/>
      <w:sz w:val="24"/>
      <w:szCs w:val="24"/>
    </w:rPr>
  </w:style>
  <w:style w:type="character" w:customStyle="1" w:styleId="46">
    <w:name w:val="标题 8 字符"/>
    <w:link w:val="9"/>
    <w:qFormat/>
    <w:uiPriority w:val="0"/>
    <w:rPr>
      <w:rFonts w:ascii="Arial" w:hAnsi="Arial" w:eastAsia="黑体"/>
      <w:kern w:val="2"/>
      <w:sz w:val="24"/>
      <w:szCs w:val="24"/>
    </w:rPr>
  </w:style>
  <w:style w:type="character" w:customStyle="1" w:styleId="47">
    <w:name w:val="标题 9 字符"/>
    <w:link w:val="10"/>
    <w:qFormat/>
    <w:uiPriority w:val="0"/>
    <w:rPr>
      <w:rFonts w:ascii="Arial" w:hAnsi="Arial" w:eastAsia="黑体"/>
      <w:kern w:val="2"/>
      <w:sz w:val="21"/>
      <w:szCs w:val="21"/>
    </w:rPr>
  </w:style>
  <w:style w:type="character" w:customStyle="1" w:styleId="48">
    <w:name w:val="页眉 字符"/>
    <w:link w:val="19"/>
    <w:qFormat/>
    <w:uiPriority w:val="99"/>
    <w:rPr>
      <w:kern w:val="2"/>
      <w:sz w:val="18"/>
      <w:szCs w:val="18"/>
    </w:rPr>
  </w:style>
  <w:style w:type="character" w:customStyle="1" w:styleId="49">
    <w:name w:val="页脚 字符"/>
    <w:link w:val="18"/>
    <w:qFormat/>
    <w:uiPriority w:val="99"/>
    <w:rPr>
      <w:rFonts w:ascii="宋体"/>
      <w:kern w:val="2"/>
      <w:sz w:val="18"/>
      <w:szCs w:val="18"/>
    </w:rPr>
  </w:style>
  <w:style w:type="character" w:customStyle="1" w:styleId="50">
    <w:name w:val="批注框文本 字符"/>
    <w:link w:val="17"/>
    <w:semiHidden/>
    <w:qFormat/>
    <w:uiPriority w:val="99"/>
    <w:rPr>
      <w:kern w:val="2"/>
      <w:sz w:val="18"/>
      <w:szCs w:val="18"/>
    </w:rPr>
  </w:style>
  <w:style w:type="paragraph" w:styleId="51">
    <w:name w:val="Quote"/>
    <w:basedOn w:val="1"/>
    <w:next w:val="1"/>
    <w:link w:val="52"/>
    <w:qFormat/>
    <w:uiPriority w:val="29"/>
    <w:rPr>
      <w:i/>
      <w:iCs/>
      <w:color w:val="000000"/>
    </w:rPr>
  </w:style>
  <w:style w:type="character" w:customStyle="1" w:styleId="52">
    <w:name w:val="引用 字符"/>
    <w:link w:val="51"/>
    <w:qFormat/>
    <w:uiPriority w:val="29"/>
    <w:rPr>
      <w:i/>
      <w:iCs/>
      <w:color w:val="000000"/>
      <w:kern w:val="2"/>
      <w:sz w:val="21"/>
      <w:szCs w:val="21"/>
    </w:rPr>
  </w:style>
  <w:style w:type="character" w:customStyle="1" w:styleId="53">
    <w:name w:val="标题 字符"/>
    <w:link w:val="28"/>
    <w:qFormat/>
    <w:uiPriority w:val="0"/>
    <w:rPr>
      <w:rFonts w:ascii="Arial" w:hAnsi="Arial" w:cs="Arial"/>
      <w:b/>
      <w:bCs/>
      <w:kern w:val="2"/>
      <w:sz w:val="32"/>
      <w:szCs w:val="32"/>
    </w:rPr>
  </w:style>
  <w:style w:type="paragraph" w:customStyle="1" w:styleId="54">
    <w:name w:val="标准标志"/>
    <w:next w:val="1"/>
    <w:link w:val="236"/>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5">
    <w:name w:val="标准称谓"/>
    <w:next w:val="1"/>
    <w:link w:val="235"/>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6">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7">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8">
    <w:name w:val="标准书眉一"/>
    <w:qFormat/>
    <w:uiPriority w:val="0"/>
    <w:pPr>
      <w:jc w:val="both"/>
    </w:pPr>
    <w:rPr>
      <w:rFonts w:ascii="Times New Roman" w:hAnsi="Times New Roman" w:eastAsia="宋体" w:cs="Times New Roman"/>
      <w:lang w:val="en-US" w:eastAsia="zh-CN" w:bidi="ar-SA"/>
    </w:rPr>
  </w:style>
  <w:style w:type="paragraph" w:customStyle="1" w:styleId="59">
    <w:name w:val="标准文件_ICS"/>
    <w:basedOn w:val="1"/>
    <w:qFormat/>
    <w:uiPriority w:val="0"/>
    <w:pPr>
      <w:spacing w:line="0" w:lineRule="atLeast"/>
    </w:pPr>
    <w:rPr>
      <w:rFonts w:ascii="黑体" w:hAnsi="宋体" w:eastAsia="黑体"/>
    </w:rPr>
  </w:style>
  <w:style w:type="paragraph" w:customStyle="1" w:styleId="60">
    <w:name w:val="标准文件_标准正文"/>
    <w:basedOn w:val="1"/>
    <w:next w:val="61"/>
    <w:qFormat/>
    <w:uiPriority w:val="0"/>
    <w:pPr>
      <w:snapToGrid w:val="0"/>
      <w:ind w:firstLine="200" w:firstLineChars="200"/>
    </w:pPr>
    <w:rPr>
      <w:kern w:val="0"/>
    </w:rPr>
  </w:style>
  <w:style w:type="paragraph" w:customStyle="1" w:styleId="61">
    <w:name w:val="标准文件_段"/>
    <w:link w:val="189"/>
    <w:qFormat/>
    <w:uiPriority w:val="0"/>
    <w:pPr>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2">
    <w:name w:val="标准文件_版本"/>
    <w:basedOn w:val="60"/>
    <w:qFormat/>
    <w:uiPriority w:val="0"/>
    <w:pPr>
      <w:adjustRightInd/>
      <w:snapToGrid/>
      <w:ind w:firstLine="0" w:firstLineChars="0"/>
    </w:pPr>
    <w:rPr>
      <w:rFonts w:ascii="宋体" w:hAnsi="宋体"/>
      <w:kern w:val="2"/>
    </w:rPr>
  </w:style>
  <w:style w:type="paragraph" w:customStyle="1" w:styleId="63">
    <w:name w:val="标准文件_标准部门"/>
    <w:basedOn w:val="1"/>
    <w:qFormat/>
    <w:uiPriority w:val="0"/>
    <w:pPr>
      <w:jc w:val="center"/>
    </w:pPr>
    <w:rPr>
      <w:rFonts w:ascii="黑体" w:eastAsia="黑体"/>
      <w:kern w:val="0"/>
      <w:sz w:val="44"/>
    </w:rPr>
  </w:style>
  <w:style w:type="paragraph" w:customStyle="1" w:styleId="64">
    <w:name w:val="标准文件_标准代替"/>
    <w:basedOn w:val="1"/>
    <w:next w:val="1"/>
    <w:qFormat/>
    <w:uiPriority w:val="0"/>
    <w:pPr>
      <w:spacing w:line="310" w:lineRule="exact"/>
      <w:jc w:val="right"/>
    </w:pPr>
    <w:rPr>
      <w:rFonts w:ascii="宋体" w:hAnsi="宋体"/>
      <w:kern w:val="0"/>
    </w:rPr>
  </w:style>
  <w:style w:type="paragraph" w:customStyle="1" w:styleId="65">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6">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7">
    <w:name w:val="标准文件_页眉偶数页"/>
    <w:basedOn w:val="66"/>
    <w:next w:val="1"/>
    <w:qFormat/>
    <w:uiPriority w:val="0"/>
    <w:pPr>
      <w:jc w:val="left"/>
    </w:pPr>
  </w:style>
  <w:style w:type="paragraph" w:customStyle="1" w:styleId="68">
    <w:name w:val="标准文件_参考文献标题"/>
    <w:basedOn w:val="1"/>
    <w:next w:val="1"/>
    <w:qFormat/>
    <w:uiPriority w:val="0"/>
    <w:pPr>
      <w:widowControl/>
      <w:shd w:val="clear" w:color="FFFFFF" w:fill="FFFFFF"/>
      <w:adjustRightInd/>
      <w:spacing w:before="560" w:after="280" w:line="240" w:lineRule="auto"/>
      <w:jc w:val="center"/>
      <w:outlineLvl w:val="0"/>
    </w:pPr>
    <w:rPr>
      <w:rFonts w:ascii="黑体" w:hAnsi="黑体" w:eastAsia="黑体"/>
      <w:kern w:val="0"/>
    </w:rPr>
  </w:style>
  <w:style w:type="paragraph" w:customStyle="1" w:styleId="69">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0">
    <w:name w:val="标准文件_二级条标题"/>
    <w:next w:val="61"/>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1">
    <w:name w:val="标准文件_发布"/>
    <w:qFormat/>
    <w:uiPriority w:val="0"/>
    <w:rPr>
      <w:rFonts w:ascii="黑体" w:eastAsia="黑体"/>
      <w:spacing w:val="0"/>
      <w:w w:val="100"/>
      <w:position w:val="3"/>
      <w:sz w:val="28"/>
    </w:rPr>
  </w:style>
  <w:style w:type="paragraph" w:customStyle="1" w:styleId="72">
    <w:name w:val="标准文件_方框数字列项"/>
    <w:basedOn w:val="61"/>
    <w:qFormat/>
    <w:uiPriority w:val="0"/>
    <w:pPr>
      <w:numPr>
        <w:ilvl w:val="0"/>
        <w:numId w:val="3"/>
      </w:numPr>
      <w:ind w:firstLine="0" w:firstLineChars="0"/>
    </w:pPr>
  </w:style>
  <w:style w:type="paragraph" w:customStyle="1" w:styleId="73">
    <w:name w:val="标准文件_封面标准编号"/>
    <w:basedOn w:val="1"/>
    <w:next w:val="64"/>
    <w:qFormat/>
    <w:uiPriority w:val="0"/>
    <w:pPr>
      <w:spacing w:line="310" w:lineRule="exact"/>
      <w:jc w:val="right"/>
    </w:pPr>
    <w:rPr>
      <w:rFonts w:ascii="黑体" w:eastAsia="黑体"/>
      <w:kern w:val="0"/>
      <w:sz w:val="28"/>
    </w:rPr>
  </w:style>
  <w:style w:type="paragraph" w:customStyle="1" w:styleId="74">
    <w:name w:val="标准文件_封面标准分类号"/>
    <w:basedOn w:val="1"/>
    <w:qFormat/>
    <w:uiPriority w:val="0"/>
    <w:rPr>
      <w:rFonts w:ascii="黑体" w:eastAsia="黑体"/>
      <w:b/>
      <w:kern w:val="0"/>
      <w:sz w:val="28"/>
    </w:rPr>
  </w:style>
  <w:style w:type="paragraph" w:customStyle="1" w:styleId="75">
    <w:name w:val="标准文件_封面标准名称"/>
    <w:basedOn w:val="1"/>
    <w:qFormat/>
    <w:uiPriority w:val="0"/>
    <w:pPr>
      <w:spacing w:line="240" w:lineRule="auto"/>
      <w:jc w:val="center"/>
    </w:pPr>
    <w:rPr>
      <w:rFonts w:ascii="黑体" w:eastAsia="黑体"/>
      <w:kern w:val="0"/>
      <w:sz w:val="52"/>
    </w:rPr>
  </w:style>
  <w:style w:type="paragraph" w:customStyle="1" w:styleId="76">
    <w:name w:val="标准文件_封面标准英文名称"/>
    <w:basedOn w:val="1"/>
    <w:qFormat/>
    <w:uiPriority w:val="0"/>
    <w:pPr>
      <w:spacing w:line="240" w:lineRule="auto"/>
      <w:jc w:val="center"/>
    </w:pPr>
    <w:rPr>
      <w:rFonts w:ascii="黑体" w:eastAsia="黑体"/>
      <w:b/>
      <w:sz w:val="28"/>
    </w:rPr>
  </w:style>
  <w:style w:type="paragraph" w:customStyle="1" w:styleId="77">
    <w:name w:val="标准文件_封面发布日期"/>
    <w:basedOn w:val="1"/>
    <w:qFormat/>
    <w:uiPriority w:val="0"/>
    <w:pPr>
      <w:spacing w:line="310" w:lineRule="exact"/>
    </w:pPr>
    <w:rPr>
      <w:rFonts w:ascii="黑体" w:eastAsia="黑体"/>
      <w:kern w:val="0"/>
      <w:sz w:val="28"/>
    </w:rPr>
  </w:style>
  <w:style w:type="paragraph" w:customStyle="1" w:styleId="78">
    <w:name w:val="标准文件_封面密级"/>
    <w:basedOn w:val="1"/>
    <w:qFormat/>
    <w:uiPriority w:val="0"/>
    <w:rPr>
      <w:rFonts w:eastAsia="黑体"/>
      <w:sz w:val="32"/>
    </w:rPr>
  </w:style>
  <w:style w:type="paragraph" w:customStyle="1" w:styleId="79">
    <w:name w:val="标准文件_封面实施日期"/>
    <w:basedOn w:val="1"/>
    <w:qFormat/>
    <w:uiPriority w:val="0"/>
    <w:pPr>
      <w:spacing w:line="310" w:lineRule="exact"/>
      <w:jc w:val="right"/>
    </w:pPr>
    <w:rPr>
      <w:rFonts w:ascii="黑体" w:eastAsia="黑体"/>
      <w:sz w:val="28"/>
    </w:rPr>
  </w:style>
  <w:style w:type="paragraph" w:customStyle="1" w:styleId="80">
    <w:name w:val="标准文件_封面抬头"/>
    <w:basedOn w:val="61"/>
    <w:qFormat/>
    <w:uiPriority w:val="0"/>
    <w:pPr>
      <w:adjustRightInd w:val="0"/>
      <w:spacing w:line="800" w:lineRule="exact"/>
      <w:ind w:firstLine="0" w:firstLineChars="0"/>
      <w:jc w:val="distribute"/>
    </w:pPr>
    <w:rPr>
      <w:rFonts w:ascii="黑体" w:eastAsia="黑体"/>
      <w:b/>
      <w:sz w:val="64"/>
    </w:rPr>
  </w:style>
  <w:style w:type="paragraph" w:customStyle="1" w:styleId="81">
    <w:name w:val="标准文件_附录标识"/>
    <w:next w:val="61"/>
    <w:qFormat/>
    <w:uiPriority w:val="0"/>
    <w:pPr>
      <w:numPr>
        <w:ilvl w:val="0"/>
        <w:numId w:val="4"/>
      </w:numPr>
      <w:shd w:val="clear" w:color="FFFFFF" w:fill="FFFFFF"/>
      <w:tabs>
        <w:tab w:val="left" w:pos="6406"/>
      </w:tabs>
      <w:spacing w:before="560" w:after="280"/>
      <w:jc w:val="center"/>
      <w:outlineLvl w:val="0"/>
    </w:pPr>
    <w:rPr>
      <w:rFonts w:ascii="黑体" w:hAnsi="黑体" w:eastAsia="黑体" w:cs="Times New Roman"/>
      <w:sz w:val="21"/>
      <w:lang w:val="en-US" w:eastAsia="zh-CN" w:bidi="ar-SA"/>
    </w:rPr>
  </w:style>
  <w:style w:type="paragraph" w:customStyle="1" w:styleId="82">
    <w:name w:val="标准文件_附录表标题"/>
    <w:next w:val="61"/>
    <w:qFormat/>
    <w:uiPriority w:val="0"/>
    <w:pPr>
      <w:numPr>
        <w:ilvl w:val="1"/>
        <w:numId w:val="5"/>
      </w:numPr>
      <w:adjustRightInd w:val="0"/>
      <w:snapToGrid w:val="0"/>
      <w:spacing w:before="50" w:beforeLines="50" w:after="50" w:afterLines="50"/>
      <w:jc w:val="center"/>
      <w:textAlignment w:val="baseline"/>
    </w:pPr>
    <w:rPr>
      <w:rFonts w:ascii="黑体" w:hAnsi="黑体" w:eastAsia="黑体" w:cs="Times New Roman"/>
      <w:kern w:val="21"/>
      <w:sz w:val="21"/>
      <w:lang w:val="en-US" w:eastAsia="zh-CN" w:bidi="ar-SA"/>
    </w:rPr>
  </w:style>
  <w:style w:type="paragraph" w:customStyle="1" w:styleId="83">
    <w:name w:val="标准文件_附录一级条标题"/>
    <w:next w:val="61"/>
    <w:qFormat/>
    <w:uiPriority w:val="0"/>
    <w:pPr>
      <w:widowControl w:val="0"/>
      <w:numPr>
        <w:ilvl w:val="1"/>
        <w:numId w:val="4"/>
      </w:numPr>
      <w:spacing w:before="50" w:beforeLines="50" w:after="50" w:afterLines="50"/>
      <w:jc w:val="both"/>
      <w:outlineLvl w:val="1"/>
    </w:pPr>
    <w:rPr>
      <w:rFonts w:ascii="黑体" w:hAnsi="黑体" w:eastAsia="黑体" w:cs="Times New Roman"/>
      <w:kern w:val="21"/>
      <w:sz w:val="21"/>
      <w:lang w:val="en-US" w:eastAsia="zh-CN" w:bidi="ar-SA"/>
    </w:rPr>
  </w:style>
  <w:style w:type="paragraph" w:customStyle="1" w:styleId="84">
    <w:name w:val="标准文件_附录二级条标题"/>
    <w:basedOn w:val="83"/>
    <w:next w:val="61"/>
    <w:qFormat/>
    <w:uiPriority w:val="0"/>
    <w:pPr>
      <w:widowControl/>
      <w:numPr>
        <w:ilvl w:val="2"/>
      </w:numPr>
      <w:wordWrap w:val="0"/>
      <w:overflowPunct w:val="0"/>
      <w:autoSpaceDE w:val="0"/>
      <w:autoSpaceDN w:val="0"/>
      <w:textAlignment w:val="baseline"/>
      <w:outlineLvl w:val="2"/>
    </w:pPr>
  </w:style>
  <w:style w:type="paragraph" w:customStyle="1" w:styleId="85">
    <w:name w:val="标准文件_附录公式"/>
    <w:basedOn w:val="60"/>
    <w:next w:val="60"/>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6">
    <w:name w:val="标准文件_附录三级条标题"/>
    <w:next w:val="61"/>
    <w:qFormat/>
    <w:uiPriority w:val="0"/>
    <w:pPr>
      <w:widowControl w:val="0"/>
      <w:numPr>
        <w:ilvl w:val="3"/>
        <w:numId w:val="4"/>
      </w:numPr>
      <w:spacing w:before="50" w:beforeLines="50" w:after="50" w:afterLines="50"/>
      <w:jc w:val="both"/>
      <w:outlineLvl w:val="3"/>
    </w:pPr>
    <w:rPr>
      <w:rFonts w:ascii="黑体" w:hAnsi="黑体" w:eastAsia="黑体" w:cs="Times New Roman"/>
      <w:kern w:val="21"/>
      <w:sz w:val="21"/>
      <w:lang w:val="en-US" w:eastAsia="zh-CN" w:bidi="ar-SA"/>
    </w:rPr>
  </w:style>
  <w:style w:type="paragraph" w:customStyle="1" w:styleId="87">
    <w:name w:val="标准文件_附录四级条标题"/>
    <w:next w:val="61"/>
    <w:qFormat/>
    <w:uiPriority w:val="0"/>
    <w:pPr>
      <w:widowControl w:val="0"/>
      <w:numPr>
        <w:ilvl w:val="4"/>
        <w:numId w:val="4"/>
      </w:numPr>
      <w:spacing w:before="50" w:beforeLines="50" w:after="50" w:afterLines="50"/>
      <w:jc w:val="both"/>
      <w:outlineLvl w:val="4"/>
    </w:pPr>
    <w:rPr>
      <w:rFonts w:ascii="黑体" w:hAnsi="黑体" w:eastAsia="黑体" w:cs="Times New Roman"/>
      <w:kern w:val="21"/>
      <w:sz w:val="21"/>
      <w:lang w:val="en-US" w:eastAsia="zh-CN" w:bidi="ar-SA"/>
    </w:rPr>
  </w:style>
  <w:style w:type="paragraph" w:customStyle="1" w:styleId="88">
    <w:name w:val="标准文件_附录图标题"/>
    <w:next w:val="61"/>
    <w:qFormat/>
    <w:uiPriority w:val="0"/>
    <w:pPr>
      <w:numPr>
        <w:ilvl w:val="1"/>
        <w:numId w:val="6"/>
      </w:numPr>
      <w:adjustRightInd w:val="0"/>
      <w:snapToGrid w:val="0"/>
      <w:spacing w:before="50" w:beforeLines="50" w:after="50" w:afterLines="50"/>
      <w:jc w:val="center"/>
    </w:pPr>
    <w:rPr>
      <w:rFonts w:ascii="黑体" w:hAnsi="黑体" w:eastAsia="黑体" w:cs="Times New Roman"/>
      <w:sz w:val="21"/>
      <w:lang w:val="en-US" w:eastAsia="zh-CN" w:bidi="ar-SA"/>
    </w:rPr>
  </w:style>
  <w:style w:type="paragraph" w:customStyle="1" w:styleId="89">
    <w:name w:val="标准文件_附录五级条标题"/>
    <w:next w:val="61"/>
    <w:qFormat/>
    <w:uiPriority w:val="0"/>
    <w:pPr>
      <w:widowControl w:val="0"/>
      <w:numPr>
        <w:ilvl w:val="5"/>
        <w:numId w:val="4"/>
      </w:numPr>
      <w:spacing w:before="50" w:beforeLines="50" w:after="50" w:afterLines="50"/>
      <w:jc w:val="both"/>
      <w:outlineLvl w:val="5"/>
    </w:pPr>
    <w:rPr>
      <w:rFonts w:ascii="黑体" w:hAnsi="黑体" w:eastAsia="黑体" w:cs="Times New Roman"/>
      <w:kern w:val="21"/>
      <w:sz w:val="21"/>
      <w:lang w:val="en-US" w:eastAsia="zh-CN" w:bidi="ar-SA"/>
    </w:rPr>
  </w:style>
  <w:style w:type="paragraph" w:customStyle="1" w:styleId="90">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1">
    <w:name w:val="正文文本 字符"/>
    <w:link w:val="14"/>
    <w:qFormat/>
    <w:uiPriority w:val="0"/>
    <w:rPr>
      <w:kern w:val="2"/>
      <w:sz w:val="21"/>
      <w:szCs w:val="21"/>
    </w:rPr>
  </w:style>
  <w:style w:type="paragraph" w:customStyle="1" w:styleId="92">
    <w:name w:val="标准文件_附录章标题"/>
    <w:next w:val="61"/>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3">
    <w:name w:val="标准文件_公式后的破折号"/>
    <w:basedOn w:val="61"/>
    <w:next w:val="61"/>
    <w:qFormat/>
    <w:uiPriority w:val="0"/>
    <w:pPr>
      <w:ind w:left="488" w:leftChars="200" w:hanging="289" w:hangingChars="290"/>
    </w:pPr>
  </w:style>
  <w:style w:type="paragraph" w:customStyle="1" w:styleId="94">
    <w:name w:val="标准文件_前言、引言标题"/>
    <w:next w:val="1"/>
    <w:qFormat/>
    <w:uiPriority w:val="0"/>
    <w:pPr>
      <w:numPr>
        <w:ilvl w:val="0"/>
        <w:numId w:val="8"/>
      </w:numPr>
      <w:shd w:val="clear" w:color="FFFFFF" w:fill="FFFFFF"/>
      <w:spacing w:before="560" w:after="680"/>
      <w:jc w:val="center"/>
      <w:outlineLvl w:val="0"/>
    </w:pPr>
    <w:rPr>
      <w:rFonts w:ascii="黑体" w:hAnsi="黑体" w:eastAsia="黑体" w:cs="Times New Roman"/>
      <w:sz w:val="32"/>
      <w:lang w:val="en-US" w:eastAsia="zh-CN" w:bidi="ar-SA"/>
    </w:rPr>
  </w:style>
  <w:style w:type="paragraph" w:customStyle="1" w:styleId="95">
    <w:name w:val="标准文件_目次、标准名称标题"/>
    <w:basedOn w:val="94"/>
    <w:next w:val="61"/>
    <w:qFormat/>
    <w:uiPriority w:val="0"/>
    <w:pPr>
      <w:spacing w:line="460" w:lineRule="exact"/>
      <w:ind w:left="0" w:firstLine="0"/>
    </w:pPr>
  </w:style>
  <w:style w:type="paragraph" w:customStyle="1" w:styleId="96">
    <w:name w:val="标准文件_目录标题"/>
    <w:basedOn w:val="1"/>
    <w:qFormat/>
    <w:uiPriority w:val="0"/>
    <w:pPr>
      <w:spacing w:before="560" w:after="680" w:line="240" w:lineRule="auto"/>
      <w:jc w:val="center"/>
    </w:pPr>
    <w:rPr>
      <w:rFonts w:ascii="黑体" w:hAnsi="黑体" w:eastAsia="黑体"/>
      <w:sz w:val="32"/>
    </w:rPr>
  </w:style>
  <w:style w:type="paragraph" w:customStyle="1" w:styleId="97">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8">
    <w:name w:val="标准文件_破折号列项（二级）"/>
    <w:basedOn w:val="97"/>
    <w:qFormat/>
    <w:uiPriority w:val="0"/>
    <w:pPr>
      <w:numPr>
        <w:numId w:val="10"/>
      </w:numPr>
    </w:pPr>
  </w:style>
  <w:style w:type="paragraph" w:customStyle="1" w:styleId="99">
    <w:name w:val="标准文件_三级条标题"/>
    <w:basedOn w:val="70"/>
    <w:next w:val="61"/>
    <w:qFormat/>
    <w:uiPriority w:val="0"/>
    <w:pPr>
      <w:widowControl/>
      <w:numPr>
        <w:ilvl w:val="4"/>
      </w:numPr>
      <w:outlineLvl w:val="3"/>
    </w:pPr>
  </w:style>
  <w:style w:type="character" w:customStyle="1" w:styleId="100">
    <w:name w:val="不明显参考1"/>
    <w:qFormat/>
    <w:uiPriority w:val="31"/>
    <w:rPr>
      <w:smallCaps/>
      <w:color w:val="C0504D"/>
      <w:u w:val="single"/>
    </w:rPr>
  </w:style>
  <w:style w:type="paragraph" w:customStyle="1" w:styleId="101">
    <w:name w:val="标准文件_示例后续"/>
    <w:basedOn w:val="1"/>
    <w:qFormat/>
    <w:uiPriority w:val="0"/>
    <w:pPr>
      <w:adjustRightInd/>
      <w:spacing w:line="240" w:lineRule="auto"/>
      <w:ind w:firstLine="200" w:firstLineChars="200"/>
    </w:pPr>
    <w:rPr>
      <w:sz w:val="18"/>
      <w:szCs w:val="24"/>
    </w:rPr>
  </w:style>
  <w:style w:type="paragraph" w:customStyle="1" w:styleId="102">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3">
    <w:name w:val="标准文件_四级条标题"/>
    <w:next w:val="61"/>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4">
    <w:name w:val="脚注文本 字符"/>
    <w:link w:val="23"/>
    <w:semiHidden/>
    <w:qFormat/>
    <w:uiPriority w:val="0"/>
    <w:rPr>
      <w:rFonts w:ascii="宋体"/>
      <w:kern w:val="2"/>
      <w:sz w:val="18"/>
      <w:szCs w:val="18"/>
    </w:rPr>
  </w:style>
  <w:style w:type="paragraph" w:customStyle="1" w:styleId="105">
    <w:name w:val="标准文件_条文脚注"/>
    <w:basedOn w:val="23"/>
    <w:qFormat/>
    <w:uiPriority w:val="0"/>
    <w:pPr>
      <w:adjustRightInd w:val="0"/>
      <w:spacing w:line="240" w:lineRule="auto"/>
      <w:ind w:left="0" w:leftChars="0" w:firstLine="200" w:firstLineChars="200"/>
      <w:jc w:val="both"/>
    </w:pPr>
    <w:rPr>
      <w:rFonts w:hAnsi="宋体"/>
    </w:rPr>
  </w:style>
  <w:style w:type="paragraph" w:customStyle="1" w:styleId="106">
    <w:name w:val="标准文件_图表脚注"/>
    <w:basedOn w:val="1"/>
    <w:next w:val="61"/>
    <w:qFormat/>
    <w:uiPriority w:val="0"/>
    <w:pPr>
      <w:numPr>
        <w:ilvl w:val="0"/>
        <w:numId w:val="12"/>
      </w:numPr>
      <w:spacing w:line="240" w:lineRule="auto"/>
      <w:jc w:val="left"/>
    </w:pPr>
    <w:rPr>
      <w:rFonts w:ascii="宋体" w:hAnsi="宋体"/>
      <w:sz w:val="18"/>
    </w:rPr>
  </w:style>
  <w:style w:type="character" w:customStyle="1" w:styleId="107">
    <w:name w:val="标准文件_图表脚注内容"/>
    <w:qFormat/>
    <w:uiPriority w:val="0"/>
    <w:rPr>
      <w:rFonts w:ascii="宋体" w:hAnsi="宋体" w:eastAsia="宋体" w:cs="Times New Roman"/>
      <w:spacing w:val="0"/>
      <w:sz w:val="18"/>
      <w:vertAlign w:val="superscript"/>
    </w:rPr>
  </w:style>
  <w:style w:type="paragraph" w:customStyle="1" w:styleId="108">
    <w:name w:val="标准文件_五级条标题"/>
    <w:next w:val="61"/>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9">
    <w:name w:val="标准文件_章标题"/>
    <w:next w:val="61"/>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0">
    <w:name w:val="标准文件_一级条标题"/>
    <w:basedOn w:val="109"/>
    <w:next w:val="61"/>
    <w:qFormat/>
    <w:uiPriority w:val="0"/>
    <w:pPr>
      <w:numPr>
        <w:ilvl w:val="2"/>
      </w:numPr>
      <w:spacing w:before="50" w:beforeLines="50" w:after="50" w:afterLines="50"/>
      <w:outlineLvl w:val="1"/>
    </w:pPr>
  </w:style>
  <w:style w:type="paragraph" w:customStyle="1" w:styleId="111">
    <w:name w:val="标准文件_一致程度"/>
    <w:basedOn w:val="1"/>
    <w:qFormat/>
    <w:uiPriority w:val="0"/>
    <w:pPr>
      <w:spacing w:line="440" w:lineRule="exact"/>
      <w:jc w:val="center"/>
    </w:pPr>
    <w:rPr>
      <w:sz w:val="28"/>
    </w:rPr>
  </w:style>
  <w:style w:type="paragraph" w:customStyle="1" w:styleId="112">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3">
    <w:name w:val="标准文件_英文图表脚注"/>
    <w:basedOn w:val="60"/>
    <w:qFormat/>
    <w:uiPriority w:val="0"/>
    <w:pPr>
      <w:widowControl/>
      <w:adjustRightInd/>
      <w:snapToGrid/>
      <w:spacing w:line="240" w:lineRule="auto"/>
      <w:ind w:left="79" w:hanging="79" w:hangingChars="80"/>
    </w:pPr>
    <w:rPr>
      <w:rFonts w:ascii="宋体" w:hAnsi="宋体"/>
    </w:rPr>
  </w:style>
  <w:style w:type="paragraph" w:customStyle="1" w:styleId="114">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5">
    <w:name w:val="标准文件_英文注："/>
    <w:basedOn w:val="1"/>
    <w:next w:val="61"/>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6">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7">
    <w:name w:val="标准文件_正文表标题"/>
    <w:next w:val="61"/>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公式"/>
    <w:basedOn w:val="1"/>
    <w:next w:val="60"/>
    <w:qFormat/>
    <w:uiPriority w:val="0"/>
    <w:pPr>
      <w:tabs>
        <w:tab w:val="center" w:pos="4678"/>
        <w:tab w:val="right" w:leader="middleDot" w:pos="9356"/>
      </w:tabs>
      <w:spacing w:line="240" w:lineRule="auto"/>
    </w:pPr>
    <w:rPr>
      <w:rFonts w:ascii="宋体" w:hAnsi="宋体"/>
    </w:rPr>
  </w:style>
  <w:style w:type="paragraph" w:customStyle="1" w:styleId="119">
    <w:name w:val="标准文件_正文图标题"/>
    <w:next w:val="61"/>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0">
    <w:name w:val="标准文件_正文英文表标题"/>
    <w:next w:val="61"/>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1">
    <w:name w:val="标准文件_正文英文图标题"/>
    <w:next w:val="61"/>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2">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3">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4">
    <w:name w:val="发布部门"/>
    <w:next w:val="61"/>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5">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6">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0">
    <w:name w:val="封面标准英文名称"/>
    <w:qFormat/>
    <w:uiPriority w:val="0"/>
    <w:pPr>
      <w:widowControl w:val="0"/>
      <w:spacing w:line="360" w:lineRule="exact"/>
      <w:jc w:val="center"/>
    </w:pPr>
    <w:rPr>
      <w:rFonts w:ascii="黑体" w:hAnsi="黑体" w:eastAsia="黑体" w:cs="Times New Roman"/>
      <w:sz w:val="28"/>
      <w:lang w:val="en-US" w:eastAsia="zh-CN" w:bidi="ar-SA"/>
    </w:rPr>
  </w:style>
  <w:style w:type="paragraph" w:customStyle="1" w:styleId="131">
    <w:name w:val="封面一致性程度标识"/>
    <w:link w:val="237"/>
    <w:qFormat/>
    <w:uiPriority w:val="0"/>
    <w:pPr>
      <w:spacing w:before="440" w:line="440" w:lineRule="exact"/>
      <w:jc w:val="center"/>
    </w:pPr>
    <w:rPr>
      <w:rFonts w:ascii="黑体" w:hAnsi="黑体" w:eastAsia="黑体" w:cs="黑体"/>
      <w:sz w:val="28"/>
      <w:lang w:val="en-US" w:eastAsia="zh-CN" w:bidi="ar-SA"/>
    </w:rPr>
  </w:style>
  <w:style w:type="paragraph" w:customStyle="1" w:styleId="132">
    <w:name w:val="封面正文"/>
    <w:qFormat/>
    <w:uiPriority w:val="0"/>
    <w:pPr>
      <w:jc w:val="both"/>
    </w:pPr>
    <w:rPr>
      <w:rFonts w:ascii="Times New Roman" w:hAnsi="Times New Roman" w:eastAsia="宋体" w:cs="Times New Roman"/>
      <w:lang w:val="en-US" w:eastAsia="zh-CN" w:bidi="ar-SA"/>
    </w:rPr>
  </w:style>
  <w:style w:type="paragraph" w:customStyle="1" w:styleId="133">
    <w:name w:val="附录二级无标题条"/>
    <w:basedOn w:val="1"/>
    <w:next w:val="61"/>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4">
    <w:name w:val="附录三级无标题条"/>
    <w:basedOn w:val="133"/>
    <w:next w:val="61"/>
    <w:qFormat/>
    <w:uiPriority w:val="0"/>
    <w:pPr>
      <w:outlineLvl w:val="4"/>
    </w:pPr>
  </w:style>
  <w:style w:type="paragraph" w:customStyle="1" w:styleId="135">
    <w:name w:val="附录四级无标题条"/>
    <w:basedOn w:val="134"/>
    <w:next w:val="61"/>
    <w:qFormat/>
    <w:uiPriority w:val="0"/>
    <w:pPr>
      <w:outlineLvl w:val="5"/>
    </w:pPr>
  </w:style>
  <w:style w:type="paragraph" w:customStyle="1" w:styleId="136">
    <w:name w:val="附录图"/>
    <w:next w:val="61"/>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7">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8">
    <w:name w:val="附录五级无标题条"/>
    <w:basedOn w:val="135"/>
    <w:next w:val="61"/>
    <w:qFormat/>
    <w:uiPriority w:val="0"/>
    <w:pPr>
      <w:outlineLvl w:val="6"/>
    </w:pPr>
  </w:style>
  <w:style w:type="paragraph" w:customStyle="1" w:styleId="139">
    <w:name w:val="附录性质"/>
    <w:basedOn w:val="1"/>
    <w:qFormat/>
    <w:uiPriority w:val="0"/>
    <w:pPr>
      <w:widowControl/>
      <w:adjustRightInd/>
      <w:jc w:val="center"/>
    </w:pPr>
    <w:rPr>
      <w:rFonts w:ascii="黑体" w:eastAsia="黑体"/>
    </w:rPr>
  </w:style>
  <w:style w:type="paragraph" w:customStyle="1" w:styleId="140">
    <w:name w:val="附录一级无标题条"/>
    <w:basedOn w:val="92"/>
    <w:next w:val="61"/>
    <w:qFormat/>
    <w:uiPriority w:val="0"/>
    <w:pPr>
      <w:autoSpaceDN w:val="0"/>
      <w:outlineLvl w:val="2"/>
    </w:pPr>
    <w:rPr>
      <w:rFonts w:ascii="宋体" w:hAnsi="宋体" w:eastAsia="宋体"/>
    </w:rPr>
  </w:style>
  <w:style w:type="character" w:customStyle="1" w:styleId="141">
    <w:name w:val="个人答复风格"/>
    <w:qFormat/>
    <w:uiPriority w:val="0"/>
    <w:rPr>
      <w:rFonts w:ascii="Arial" w:hAnsi="Arial" w:eastAsia="宋体" w:cs="Arial"/>
      <w:color w:val="auto"/>
      <w:spacing w:val="0"/>
      <w:sz w:val="20"/>
    </w:rPr>
  </w:style>
  <w:style w:type="character" w:customStyle="1" w:styleId="142">
    <w:name w:val="个人撰写风格"/>
    <w:qFormat/>
    <w:uiPriority w:val="0"/>
    <w:rPr>
      <w:rFonts w:ascii="Arial" w:hAnsi="Arial" w:eastAsia="宋体" w:cs="Arial"/>
      <w:color w:val="auto"/>
      <w:spacing w:val="0"/>
      <w:sz w:val="20"/>
    </w:rPr>
  </w:style>
  <w:style w:type="paragraph" w:customStyle="1" w:styleId="143">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4">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5">
    <w:name w:val="列项·"/>
    <w:basedOn w:val="61"/>
    <w:qFormat/>
    <w:uiPriority w:val="0"/>
    <w:pPr>
      <w:tabs>
        <w:tab w:val="left" w:pos="840"/>
      </w:tabs>
    </w:pPr>
  </w:style>
  <w:style w:type="paragraph" w:customStyle="1" w:styleId="14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7">
    <w:name w:val="目录 21"/>
    <w:basedOn w:val="1"/>
    <w:next w:val="1"/>
    <w:semiHidden/>
    <w:qFormat/>
    <w:uiPriority w:val="0"/>
    <w:pPr>
      <w:adjustRightInd/>
      <w:spacing w:line="240" w:lineRule="auto"/>
      <w:jc w:val="left"/>
    </w:pPr>
    <w:rPr>
      <w:bCs/>
      <w:iCs/>
    </w:rPr>
  </w:style>
  <w:style w:type="paragraph" w:customStyle="1" w:styleId="148">
    <w:name w:val="目录 31"/>
    <w:basedOn w:val="1"/>
    <w:next w:val="1"/>
    <w:semiHidden/>
    <w:qFormat/>
    <w:uiPriority w:val="0"/>
    <w:pPr>
      <w:spacing w:line="240" w:lineRule="auto"/>
    </w:pPr>
    <w:rPr>
      <w:rFonts w:ascii="宋体" w:hAnsi="宋体"/>
      <w:iCs/>
    </w:rPr>
  </w:style>
  <w:style w:type="paragraph" w:customStyle="1" w:styleId="149">
    <w:name w:val="目录 41"/>
    <w:basedOn w:val="1"/>
    <w:next w:val="1"/>
    <w:semiHidden/>
    <w:qFormat/>
    <w:uiPriority w:val="0"/>
    <w:pPr>
      <w:adjustRightInd/>
      <w:spacing w:line="240" w:lineRule="auto"/>
      <w:jc w:val="left"/>
    </w:pPr>
  </w:style>
  <w:style w:type="paragraph" w:customStyle="1" w:styleId="150">
    <w:name w:val="目录 51"/>
    <w:basedOn w:val="1"/>
    <w:next w:val="1"/>
    <w:semiHidden/>
    <w:qFormat/>
    <w:uiPriority w:val="0"/>
    <w:pPr>
      <w:spacing w:line="240" w:lineRule="auto"/>
    </w:pPr>
    <w:rPr>
      <w:rFonts w:ascii="宋体" w:hAnsi="宋体"/>
    </w:rPr>
  </w:style>
  <w:style w:type="paragraph" w:customStyle="1" w:styleId="151">
    <w:name w:val="目录 61"/>
    <w:basedOn w:val="1"/>
    <w:next w:val="1"/>
    <w:semiHidden/>
    <w:qFormat/>
    <w:uiPriority w:val="0"/>
    <w:pPr>
      <w:adjustRightInd/>
      <w:spacing w:line="240" w:lineRule="auto"/>
      <w:jc w:val="left"/>
    </w:pPr>
  </w:style>
  <w:style w:type="paragraph" w:customStyle="1" w:styleId="152">
    <w:name w:val="目录 71"/>
    <w:basedOn w:val="151"/>
    <w:semiHidden/>
    <w:qFormat/>
    <w:uiPriority w:val="0"/>
    <w:pPr>
      <w:ind w:left="1260"/>
    </w:pPr>
  </w:style>
  <w:style w:type="paragraph" w:customStyle="1" w:styleId="153">
    <w:name w:val="目录 81"/>
    <w:basedOn w:val="152"/>
    <w:semiHidden/>
    <w:qFormat/>
    <w:uiPriority w:val="0"/>
    <w:pPr>
      <w:ind w:left="1470"/>
    </w:pPr>
  </w:style>
  <w:style w:type="paragraph" w:customStyle="1" w:styleId="154">
    <w:name w:val="目录 91"/>
    <w:basedOn w:val="153"/>
    <w:semiHidden/>
    <w:qFormat/>
    <w:uiPriority w:val="0"/>
    <w:pPr>
      <w:ind w:left="1680"/>
    </w:pPr>
  </w:style>
  <w:style w:type="paragraph" w:customStyle="1" w:styleId="15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6">
    <w:name w:val="其他发布部门"/>
    <w:basedOn w:val="124"/>
    <w:qFormat/>
    <w:uiPriority w:val="0"/>
    <w:pPr>
      <w:framePr w:wrap="around"/>
      <w:spacing w:line="0" w:lineRule="atLeast"/>
    </w:pPr>
    <w:rPr>
      <w:rFonts w:ascii="黑体" w:eastAsia="黑体"/>
      <w:b w:val="0"/>
    </w:rPr>
  </w:style>
  <w:style w:type="paragraph" w:customStyle="1" w:styleId="157">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8">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9">
    <w:name w:val="实施日期"/>
    <w:basedOn w:val="125"/>
    <w:qFormat/>
    <w:uiPriority w:val="0"/>
    <w:pPr>
      <w:framePr w:hSpace="0" w:wrap="around" w:xAlign="right"/>
      <w:jc w:val="right"/>
    </w:pPr>
  </w:style>
  <w:style w:type="paragraph" w:customStyle="1" w:styleId="160">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1">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2">
    <w:name w:val="无标题条"/>
    <w:next w:val="61"/>
    <w:qFormat/>
    <w:uiPriority w:val="0"/>
    <w:pPr>
      <w:jc w:val="both"/>
    </w:pPr>
    <w:rPr>
      <w:rFonts w:ascii="宋体" w:hAnsi="宋体" w:eastAsia="宋体" w:cs="Times New Roman"/>
      <w:sz w:val="21"/>
      <w:lang w:val="en-US" w:eastAsia="zh-CN" w:bidi="ar-SA"/>
    </w:rPr>
  </w:style>
  <w:style w:type="paragraph" w:customStyle="1" w:styleId="163">
    <w:name w:val="五级无标题条"/>
    <w:basedOn w:val="1"/>
    <w:qFormat/>
    <w:uiPriority w:val="0"/>
    <w:pPr>
      <w:numPr>
        <w:ilvl w:val="6"/>
        <w:numId w:val="20"/>
      </w:numPr>
      <w:adjustRightInd/>
    </w:pPr>
    <w:rPr>
      <w:szCs w:val="24"/>
    </w:rPr>
  </w:style>
  <w:style w:type="paragraph" w:customStyle="1" w:styleId="164">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5">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6">
    <w:name w:val="注×:后续"/>
    <w:basedOn w:val="165"/>
    <w:qFormat/>
    <w:uiPriority w:val="0"/>
    <w:pPr>
      <w:ind w:left="1406" w:leftChars="0" w:hanging="499" w:firstLineChars="0"/>
    </w:pPr>
  </w:style>
  <w:style w:type="paragraph" w:customStyle="1" w:styleId="167">
    <w:name w:val="标准文件_一级无标题"/>
    <w:basedOn w:val="110"/>
    <w:qFormat/>
    <w:uiPriority w:val="0"/>
    <w:pPr>
      <w:spacing w:before="0" w:beforeLines="0" w:after="0" w:afterLines="0"/>
      <w:outlineLvl w:val="9"/>
    </w:pPr>
    <w:rPr>
      <w:rFonts w:ascii="宋体" w:eastAsia="宋体"/>
    </w:rPr>
  </w:style>
  <w:style w:type="paragraph" w:customStyle="1" w:styleId="168">
    <w:name w:val="标准文件_五级无标题"/>
    <w:basedOn w:val="108"/>
    <w:qFormat/>
    <w:uiPriority w:val="0"/>
    <w:pPr>
      <w:spacing w:before="0" w:beforeLines="0" w:after="0" w:afterLines="0"/>
      <w:outlineLvl w:val="9"/>
    </w:pPr>
    <w:rPr>
      <w:rFonts w:ascii="宋体" w:eastAsia="宋体"/>
    </w:rPr>
  </w:style>
  <w:style w:type="paragraph" w:customStyle="1" w:styleId="169">
    <w:name w:val="标准文件_三级无标题"/>
    <w:basedOn w:val="99"/>
    <w:qFormat/>
    <w:uiPriority w:val="0"/>
    <w:pPr>
      <w:spacing w:before="0" w:beforeLines="0" w:after="0" w:afterLines="0"/>
      <w:outlineLvl w:val="9"/>
    </w:pPr>
    <w:rPr>
      <w:rFonts w:ascii="宋体" w:eastAsia="宋体"/>
    </w:rPr>
  </w:style>
  <w:style w:type="paragraph" w:customStyle="1" w:styleId="170">
    <w:name w:val="标准文件_二级无标题"/>
    <w:basedOn w:val="70"/>
    <w:qFormat/>
    <w:uiPriority w:val="0"/>
    <w:pPr>
      <w:spacing w:before="0" w:beforeLines="0" w:after="0" w:afterLines="0"/>
      <w:outlineLvl w:val="9"/>
    </w:pPr>
    <w:rPr>
      <w:rFonts w:ascii="宋体" w:eastAsia="宋体"/>
    </w:rPr>
  </w:style>
  <w:style w:type="paragraph" w:customStyle="1" w:styleId="171">
    <w:name w:val="标准_四级无标题"/>
    <w:basedOn w:val="103"/>
    <w:next w:val="61"/>
    <w:qFormat/>
    <w:uiPriority w:val="0"/>
    <w:rPr>
      <w:rFonts w:eastAsia="宋体"/>
    </w:rPr>
  </w:style>
  <w:style w:type="paragraph" w:customStyle="1" w:styleId="172">
    <w:name w:val="标准文件_四级无标题"/>
    <w:basedOn w:val="103"/>
    <w:qFormat/>
    <w:uiPriority w:val="0"/>
    <w:pPr>
      <w:spacing w:before="0" w:beforeLines="0" w:after="0" w:afterLines="0"/>
      <w:outlineLvl w:val="9"/>
    </w:pPr>
    <w:rPr>
      <w:rFonts w:ascii="宋体" w:hAnsi="黑体" w:eastAsia="宋体"/>
      <w:szCs w:val="52"/>
    </w:rPr>
  </w:style>
  <w:style w:type="paragraph" w:customStyle="1" w:styleId="173">
    <w:name w:val="标准文件_大写罗马数字编号列项"/>
    <w:basedOn w:val="61"/>
    <w:qFormat/>
    <w:uiPriority w:val="0"/>
    <w:pPr>
      <w:numPr>
        <w:ilvl w:val="0"/>
        <w:numId w:val="23"/>
      </w:numPr>
      <w:ind w:firstLine="0" w:firstLineChars="0"/>
    </w:pPr>
    <w:rPr>
      <w:rFonts w:ascii="Times New Roman" w:cs="Arial"/>
      <w:szCs w:val="28"/>
    </w:rPr>
  </w:style>
  <w:style w:type="paragraph" w:customStyle="1" w:styleId="174">
    <w:name w:val="标准文件_小写罗马数字编号列项"/>
    <w:basedOn w:val="61"/>
    <w:qFormat/>
    <w:uiPriority w:val="0"/>
    <w:pPr>
      <w:numPr>
        <w:ilvl w:val="0"/>
        <w:numId w:val="24"/>
      </w:numPr>
      <w:ind w:firstLine="0" w:firstLineChars="0"/>
    </w:pPr>
    <w:rPr>
      <w:rFonts w:cs="Arial"/>
      <w:szCs w:val="28"/>
    </w:rPr>
  </w:style>
  <w:style w:type="paragraph" w:customStyle="1" w:styleId="175">
    <w:name w:val="标准文件_附录标题"/>
    <w:basedOn w:val="81"/>
    <w:qFormat/>
    <w:uiPriority w:val="0"/>
    <w:pPr>
      <w:numPr>
        <w:numId w:val="0"/>
      </w:numPr>
      <w:outlineLvl w:val="9"/>
    </w:pPr>
  </w:style>
  <w:style w:type="paragraph" w:customStyle="1" w:styleId="176">
    <w:name w:val="标准文件_二级项"/>
    <w:qFormat/>
    <w:uiPriority w:val="0"/>
    <w:rPr>
      <w:rFonts w:ascii="宋体" w:hAnsi="Times New Roman" w:eastAsia="宋体" w:cs="Times New Roman"/>
      <w:sz w:val="21"/>
      <w:lang w:val="en-US" w:eastAsia="zh-CN" w:bidi="ar-SA"/>
    </w:rPr>
  </w:style>
  <w:style w:type="paragraph" w:customStyle="1" w:styleId="177">
    <w:name w:val="标准文件_三级项"/>
    <w:basedOn w:val="1"/>
    <w:qFormat/>
    <w:uiPriority w:val="0"/>
    <w:pPr>
      <w:numPr>
        <w:ilvl w:val="2"/>
        <w:numId w:val="21"/>
      </w:numPr>
      <w:spacing w:line="536870612" w:lineRule="auto"/>
    </w:pPr>
    <w:rPr>
      <w:rFonts w:ascii="Times New Roman" w:hAnsi="Times New Roman"/>
    </w:rPr>
  </w:style>
  <w:style w:type="paragraph" w:customStyle="1" w:styleId="178">
    <w:name w:val="图表脚注说明"/>
    <w:basedOn w:val="1"/>
    <w:next w:val="61"/>
    <w:qFormat/>
    <w:uiPriority w:val="0"/>
    <w:pPr>
      <w:numPr>
        <w:ilvl w:val="0"/>
        <w:numId w:val="25"/>
      </w:numPr>
      <w:adjustRightInd/>
      <w:spacing w:line="240" w:lineRule="auto"/>
    </w:pPr>
    <w:rPr>
      <w:rFonts w:ascii="宋体" w:hAnsi="Times New Roman"/>
      <w:sz w:val="18"/>
      <w:szCs w:val="18"/>
    </w:rPr>
  </w:style>
  <w:style w:type="paragraph" w:customStyle="1" w:styleId="179">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0">
    <w:name w:val="标准文件_索引字母"/>
    <w:next w:val="61"/>
    <w:qFormat/>
    <w:uiPriority w:val="0"/>
    <w:pPr>
      <w:jc w:val="center"/>
    </w:pPr>
    <w:rPr>
      <w:rFonts w:ascii="宋体" w:hAnsi="宋体" w:eastAsia="Times New Roman" w:cs="Times New Roman"/>
      <w:b/>
      <w:kern w:val="2"/>
      <w:sz w:val="21"/>
      <w:lang w:val="en-US" w:eastAsia="zh-CN" w:bidi="ar-SA"/>
    </w:rPr>
  </w:style>
  <w:style w:type="paragraph" w:customStyle="1" w:styleId="181">
    <w:name w:val="标准文件_附录前"/>
    <w:next w:val="61"/>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2">
    <w:name w:val="标准文件_正文标准名称"/>
    <w:qFormat/>
    <w:uiPriority w:val="0"/>
    <w:pPr>
      <w:spacing w:before="560" w:after="680"/>
      <w:jc w:val="center"/>
    </w:pPr>
    <w:rPr>
      <w:rFonts w:ascii="黑体" w:hAnsi="黑体" w:eastAsia="黑体" w:cs="Times New Roman"/>
      <w:kern w:val="2"/>
      <w:sz w:val="32"/>
      <w:szCs w:val="32"/>
      <w:lang w:val="en-US" w:eastAsia="zh-CN" w:bidi="ar-SA"/>
    </w:rPr>
  </w:style>
  <w:style w:type="paragraph" w:customStyle="1" w:styleId="183">
    <w:name w:val="标准文件_表格"/>
    <w:basedOn w:val="61"/>
    <w:qFormat/>
    <w:uiPriority w:val="0"/>
    <w:pPr>
      <w:ind w:firstLine="0" w:firstLineChars="0"/>
      <w:jc w:val="center"/>
    </w:pPr>
    <w:rPr>
      <w:sz w:val="18"/>
    </w:rPr>
  </w:style>
  <w:style w:type="paragraph" w:customStyle="1" w:styleId="184">
    <w:name w:val="标准文件_注："/>
    <w:next w:val="61"/>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6">
    <w:name w:val="标准文件_示例："/>
    <w:next w:val="187"/>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7">
    <w:name w:val="标准文件_示例内容"/>
    <w:basedOn w:val="61"/>
    <w:qFormat/>
    <w:uiPriority w:val="0"/>
    <w:rPr>
      <w:sz w:val="18"/>
    </w:rPr>
  </w:style>
  <w:style w:type="paragraph" w:customStyle="1" w:styleId="188">
    <w:name w:val="标准文件_示例×："/>
    <w:basedOn w:val="1"/>
    <w:next w:val="187"/>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9">
    <w:name w:val="标准文件_段 Char"/>
    <w:link w:val="61"/>
    <w:qFormat/>
    <w:uiPriority w:val="0"/>
    <w:rPr>
      <w:rFonts w:ascii="宋体" w:hAnsi="Times New Roman" w:eastAsia="宋体" w:cs="Times New Roman"/>
      <w:sz w:val="21"/>
      <w:lang w:val="en-US" w:eastAsia="zh-CN" w:bidi="ar-SA"/>
    </w:rPr>
  </w:style>
  <w:style w:type="paragraph" w:customStyle="1" w:styleId="190">
    <w:name w:val="标准文件_表格续"/>
    <w:basedOn w:val="61"/>
    <w:next w:val="61"/>
    <w:qFormat/>
    <w:uiPriority w:val="0"/>
    <w:pPr>
      <w:jc w:val="center"/>
    </w:pPr>
    <w:rPr>
      <w:rFonts w:ascii="黑体" w:hAnsi="黑体" w:eastAsia="黑体"/>
    </w:rPr>
  </w:style>
  <w:style w:type="character" w:styleId="191">
    <w:name w:val="Placeholder Text"/>
    <w:basedOn w:val="32"/>
    <w:semiHidden/>
    <w:qFormat/>
    <w:uiPriority w:val="99"/>
    <w:rPr>
      <w:color w:val="808080"/>
    </w:rPr>
  </w:style>
  <w:style w:type="paragraph" w:customStyle="1" w:styleId="192">
    <w:name w:val="标准文件_二级项2"/>
    <w:basedOn w:val="61"/>
    <w:qFormat/>
    <w:uiPriority w:val="0"/>
    <w:pPr>
      <w:numPr>
        <w:ilvl w:val="1"/>
        <w:numId w:val="21"/>
      </w:numPr>
      <w:ind w:firstLine="0" w:firstLineChars="0"/>
    </w:pPr>
  </w:style>
  <w:style w:type="paragraph" w:customStyle="1" w:styleId="193">
    <w:name w:val="标准文件_三级项2"/>
    <w:basedOn w:val="61"/>
    <w:qFormat/>
    <w:uiPriority w:val="0"/>
    <w:pPr>
      <w:numPr>
        <w:ilvl w:val="0"/>
        <w:numId w:val="30"/>
      </w:numPr>
      <w:spacing w:line="300" w:lineRule="exact"/>
      <w:ind w:firstLineChars="0"/>
    </w:pPr>
    <w:rPr>
      <w:rFonts w:ascii="Times New Roman"/>
    </w:rPr>
  </w:style>
  <w:style w:type="paragraph" w:customStyle="1" w:styleId="194">
    <w:name w:val="标准文件_一级项2"/>
    <w:basedOn w:val="61"/>
    <w:qFormat/>
    <w:uiPriority w:val="0"/>
    <w:pPr>
      <w:numPr>
        <w:ilvl w:val="0"/>
        <w:numId w:val="31"/>
      </w:numPr>
      <w:spacing w:line="300" w:lineRule="exact"/>
      <w:ind w:firstLineChars="0"/>
    </w:pPr>
    <w:rPr>
      <w:rFonts w:ascii="Times New Roman"/>
    </w:rPr>
  </w:style>
  <w:style w:type="paragraph" w:customStyle="1" w:styleId="195">
    <w:name w:val="标准文件_提示"/>
    <w:basedOn w:val="61"/>
    <w:next w:val="61"/>
    <w:qFormat/>
    <w:uiPriority w:val="0"/>
    <w:rPr>
      <w:rFonts w:ascii="黑体" w:eastAsia="黑体"/>
    </w:rPr>
  </w:style>
  <w:style w:type="character" w:customStyle="1" w:styleId="196">
    <w:name w:val="标准文件_来源"/>
    <w:basedOn w:val="32"/>
    <w:qFormat/>
    <w:uiPriority w:val="1"/>
    <w:rPr>
      <w:rFonts w:eastAsia="宋体"/>
      <w:sz w:val="21"/>
    </w:rPr>
  </w:style>
  <w:style w:type="paragraph" w:customStyle="1" w:styleId="197">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8">
    <w:name w:val="其他发布日期"/>
    <w:basedOn w:val="125"/>
    <w:qFormat/>
    <w:uiPriority w:val="0"/>
    <w:pPr>
      <w:framePr w:w="3997" w:h="471" w:hRule="exact" w:hSpace="0" w:vSpace="181" w:wrap="around" w:vAnchor="page" w:hAnchor="page" w:x="1419" w:y="14097"/>
    </w:pPr>
  </w:style>
  <w:style w:type="paragraph" w:customStyle="1" w:styleId="199">
    <w:name w:val="其他实施日期"/>
    <w:basedOn w:val="159"/>
    <w:qFormat/>
    <w:uiPriority w:val="0"/>
    <w:pPr>
      <w:framePr w:w="3997" w:h="471" w:hRule="exact" w:vSpace="181" w:wrap="around" w:vAnchor="page" w:hAnchor="page" w:x="7089" w:y="14097"/>
    </w:pPr>
  </w:style>
  <w:style w:type="paragraph" w:customStyle="1" w:styleId="200">
    <w:name w:val="标准文件_文件编号"/>
    <w:basedOn w:val="61"/>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1">
    <w:name w:val="标准文件_替换文件编号"/>
    <w:basedOn w:val="200"/>
    <w:qFormat/>
    <w:uiPriority w:val="0"/>
    <w:pPr>
      <w:spacing w:before="57"/>
    </w:pPr>
    <w:rPr>
      <w:sz w:val="21"/>
    </w:rPr>
  </w:style>
  <w:style w:type="paragraph" w:customStyle="1" w:styleId="202">
    <w:name w:val="标准文件_文件名称"/>
    <w:basedOn w:val="61"/>
    <w:next w:val="61"/>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3">
    <w:name w:val="标准文件_附录图标号"/>
    <w:basedOn w:val="61"/>
    <w:next w:val="61"/>
    <w:qFormat/>
    <w:uiPriority w:val="0"/>
    <w:pPr>
      <w:numPr>
        <w:ilvl w:val="0"/>
        <w:numId w:val="6"/>
      </w:numPr>
      <w:spacing w:line="14" w:lineRule="exact"/>
      <w:ind w:firstLineChars="0"/>
      <w:jc w:val="center"/>
    </w:pPr>
    <w:rPr>
      <w:rFonts w:ascii="黑体" w:hAnsi="黑体" w:eastAsia="黑体"/>
      <w:vanish/>
      <w:sz w:val="2"/>
      <w:szCs w:val="21"/>
    </w:rPr>
  </w:style>
  <w:style w:type="paragraph" w:customStyle="1" w:styleId="204">
    <w:name w:val="标准文件_附录表标号"/>
    <w:basedOn w:val="61"/>
    <w:next w:val="61"/>
    <w:qFormat/>
    <w:uiPriority w:val="0"/>
    <w:pPr>
      <w:numPr>
        <w:ilvl w:val="0"/>
        <w:numId w:val="5"/>
      </w:numPr>
      <w:spacing w:line="14" w:lineRule="exact"/>
      <w:ind w:firstLineChars="0"/>
      <w:jc w:val="center"/>
    </w:pPr>
    <w:rPr>
      <w:rFonts w:eastAsia="黑体"/>
      <w:vanish/>
      <w:sz w:val="2"/>
    </w:rPr>
  </w:style>
  <w:style w:type="paragraph" w:customStyle="1" w:styleId="205">
    <w:name w:val="标准文件_引言一级条标题"/>
    <w:basedOn w:val="61"/>
    <w:next w:val="61"/>
    <w:qFormat/>
    <w:uiPriority w:val="0"/>
    <w:pPr>
      <w:numPr>
        <w:ilvl w:val="1"/>
        <w:numId w:val="8"/>
      </w:numPr>
      <w:spacing w:before="50" w:beforeLines="50" w:after="50" w:afterLines="50"/>
      <w:ind w:firstLineChars="0"/>
    </w:pPr>
    <w:rPr>
      <w:rFonts w:ascii="黑体" w:eastAsia="黑体"/>
    </w:rPr>
  </w:style>
  <w:style w:type="paragraph" w:customStyle="1" w:styleId="206">
    <w:name w:val="标准文件_引言二级条标题"/>
    <w:basedOn w:val="61"/>
    <w:next w:val="61"/>
    <w:qFormat/>
    <w:uiPriority w:val="0"/>
    <w:pPr>
      <w:numPr>
        <w:ilvl w:val="2"/>
        <w:numId w:val="8"/>
      </w:numPr>
      <w:spacing w:before="50" w:beforeLines="50" w:after="50" w:afterLines="50"/>
      <w:ind w:firstLineChars="0"/>
    </w:pPr>
    <w:rPr>
      <w:rFonts w:ascii="黑体" w:eastAsia="黑体"/>
    </w:rPr>
  </w:style>
  <w:style w:type="paragraph" w:customStyle="1" w:styleId="207">
    <w:name w:val="标准文件_引言三级条标题"/>
    <w:basedOn w:val="61"/>
    <w:next w:val="61"/>
    <w:qFormat/>
    <w:uiPriority w:val="0"/>
    <w:pPr>
      <w:numPr>
        <w:ilvl w:val="3"/>
        <w:numId w:val="8"/>
      </w:numPr>
      <w:spacing w:before="50" w:beforeLines="50" w:after="50" w:afterLines="50"/>
      <w:ind w:firstLineChars="0"/>
    </w:pPr>
    <w:rPr>
      <w:rFonts w:ascii="黑体" w:eastAsia="黑体"/>
    </w:rPr>
  </w:style>
  <w:style w:type="paragraph" w:customStyle="1" w:styleId="208">
    <w:name w:val="标准文件_引言四级条标题"/>
    <w:basedOn w:val="61"/>
    <w:next w:val="61"/>
    <w:qFormat/>
    <w:uiPriority w:val="0"/>
    <w:pPr>
      <w:numPr>
        <w:ilvl w:val="4"/>
        <w:numId w:val="8"/>
      </w:numPr>
      <w:spacing w:before="50" w:beforeLines="50" w:after="50" w:afterLines="50"/>
      <w:ind w:firstLineChars="0"/>
    </w:pPr>
    <w:rPr>
      <w:rFonts w:ascii="黑体" w:eastAsia="黑体"/>
    </w:rPr>
  </w:style>
  <w:style w:type="paragraph" w:customStyle="1" w:styleId="209">
    <w:name w:val="标准文件_引言五级条标题"/>
    <w:basedOn w:val="61"/>
    <w:next w:val="61"/>
    <w:qFormat/>
    <w:uiPriority w:val="0"/>
    <w:pPr>
      <w:numPr>
        <w:ilvl w:val="5"/>
        <w:numId w:val="8"/>
      </w:numPr>
      <w:spacing w:before="50" w:beforeLines="50" w:after="50" w:afterLines="50"/>
      <w:ind w:firstLineChars="0"/>
    </w:pPr>
    <w:rPr>
      <w:rFonts w:ascii="黑体" w:eastAsia="黑体"/>
    </w:rPr>
  </w:style>
  <w:style w:type="paragraph" w:customStyle="1" w:styleId="210">
    <w:name w:val="标准文件_注后"/>
    <w:basedOn w:val="61"/>
    <w:qFormat/>
    <w:uiPriority w:val="0"/>
    <w:pPr>
      <w:ind w:left="811" w:firstLine="0" w:firstLineChars="0"/>
    </w:pPr>
    <w:rPr>
      <w:sz w:val="18"/>
    </w:rPr>
  </w:style>
  <w:style w:type="paragraph" w:customStyle="1" w:styleId="211">
    <w:name w:val="标准文件_注X后"/>
    <w:basedOn w:val="61"/>
    <w:qFormat/>
    <w:uiPriority w:val="0"/>
    <w:pPr>
      <w:ind w:left="811" w:firstLine="0" w:firstLineChars="0"/>
    </w:pPr>
    <w:rPr>
      <w:sz w:val="18"/>
    </w:rPr>
  </w:style>
  <w:style w:type="paragraph" w:customStyle="1" w:styleId="212">
    <w:name w:val="标准文件_示例后"/>
    <w:basedOn w:val="61"/>
    <w:qFormat/>
    <w:uiPriority w:val="0"/>
    <w:pPr>
      <w:ind w:left="964" w:firstLine="0" w:firstLineChars="0"/>
    </w:pPr>
    <w:rPr>
      <w:sz w:val="18"/>
    </w:rPr>
  </w:style>
  <w:style w:type="paragraph" w:customStyle="1" w:styleId="213">
    <w:name w:val="标准文件_示例X后"/>
    <w:basedOn w:val="61"/>
    <w:link w:val="214"/>
    <w:qFormat/>
    <w:uiPriority w:val="0"/>
    <w:pPr>
      <w:ind w:left="1049" w:firstLine="0" w:firstLineChars="0"/>
    </w:pPr>
    <w:rPr>
      <w:sz w:val="18"/>
    </w:rPr>
  </w:style>
  <w:style w:type="character" w:customStyle="1" w:styleId="214">
    <w:name w:val="标准文件_示例X后 字符"/>
    <w:basedOn w:val="189"/>
    <w:link w:val="213"/>
    <w:qFormat/>
    <w:uiPriority w:val="0"/>
    <w:rPr>
      <w:rFonts w:ascii="宋体" w:hAnsi="Times New Roman" w:eastAsia="宋体" w:cs="Times New Roman"/>
      <w:sz w:val="18"/>
      <w:lang w:val="en-US" w:eastAsia="zh-CN" w:bidi="ar-SA"/>
    </w:rPr>
  </w:style>
  <w:style w:type="paragraph" w:customStyle="1" w:styleId="215">
    <w:name w:val="标准文件_索引项"/>
    <w:basedOn w:val="61"/>
    <w:next w:val="61"/>
    <w:qFormat/>
    <w:uiPriority w:val="0"/>
    <w:pPr>
      <w:tabs>
        <w:tab w:val="right" w:leader="dot" w:pos="9356"/>
      </w:tabs>
      <w:ind w:left="210" w:hanging="210" w:firstLineChars="0"/>
      <w:jc w:val="left"/>
    </w:pPr>
  </w:style>
  <w:style w:type="paragraph" w:customStyle="1" w:styleId="216">
    <w:name w:val="标准文件_附录一级无标题"/>
    <w:basedOn w:val="83"/>
    <w:qFormat/>
    <w:uiPriority w:val="0"/>
    <w:pPr>
      <w:spacing w:before="0" w:beforeLines="0" w:after="0" w:afterLines="0" w:line="276" w:lineRule="auto"/>
      <w:outlineLvl w:val="9"/>
    </w:pPr>
    <w:rPr>
      <w:rFonts w:ascii="宋体" w:eastAsia="宋体"/>
    </w:rPr>
  </w:style>
  <w:style w:type="paragraph" w:customStyle="1" w:styleId="217">
    <w:name w:val="标准文件_附录二级无标题"/>
    <w:basedOn w:val="84"/>
    <w:qFormat/>
    <w:uiPriority w:val="0"/>
    <w:pPr>
      <w:spacing w:before="0" w:beforeLines="0" w:after="0" w:afterLines="0" w:line="276" w:lineRule="auto"/>
      <w:outlineLvl w:val="9"/>
    </w:pPr>
    <w:rPr>
      <w:rFonts w:ascii="宋体" w:eastAsia="宋体"/>
    </w:rPr>
  </w:style>
  <w:style w:type="paragraph" w:customStyle="1" w:styleId="218">
    <w:name w:val="标准文件_附录三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四级无标题"/>
    <w:basedOn w:val="87"/>
    <w:qFormat/>
    <w:uiPriority w:val="0"/>
    <w:pPr>
      <w:spacing w:before="0" w:beforeLines="0" w:after="0" w:afterLines="0" w:line="276" w:lineRule="auto"/>
      <w:outlineLvl w:val="9"/>
    </w:pPr>
    <w:rPr>
      <w:rFonts w:ascii="宋体" w:eastAsia="宋体"/>
    </w:rPr>
  </w:style>
  <w:style w:type="paragraph" w:customStyle="1" w:styleId="220">
    <w:name w:val="标准文件_附录五级无标题"/>
    <w:basedOn w:val="89"/>
    <w:qFormat/>
    <w:uiPriority w:val="0"/>
    <w:pPr>
      <w:spacing w:before="0" w:beforeLines="0" w:after="0" w:afterLines="0" w:line="276" w:lineRule="auto"/>
      <w:outlineLvl w:val="9"/>
    </w:pPr>
    <w:rPr>
      <w:rFonts w:ascii="宋体" w:eastAsia="宋体"/>
    </w:rPr>
  </w:style>
  <w:style w:type="paragraph" w:customStyle="1" w:styleId="221">
    <w:name w:val="标准文件_引言一级无标题"/>
    <w:basedOn w:val="205"/>
    <w:next w:val="61"/>
    <w:qFormat/>
    <w:uiPriority w:val="0"/>
    <w:pPr>
      <w:spacing w:before="0" w:beforeLines="0" w:after="0" w:afterLines="0" w:line="276" w:lineRule="auto"/>
    </w:pPr>
    <w:rPr>
      <w:rFonts w:ascii="宋体" w:eastAsia="宋体"/>
    </w:rPr>
  </w:style>
  <w:style w:type="paragraph" w:customStyle="1" w:styleId="222">
    <w:name w:val="标准文件_引言二级无标题"/>
    <w:basedOn w:val="206"/>
    <w:next w:val="61"/>
    <w:qFormat/>
    <w:uiPriority w:val="0"/>
    <w:pPr>
      <w:spacing w:before="0" w:beforeLines="0" w:after="0" w:afterLines="0" w:line="276" w:lineRule="auto"/>
    </w:pPr>
    <w:rPr>
      <w:rFonts w:ascii="宋体" w:eastAsia="宋体"/>
    </w:rPr>
  </w:style>
  <w:style w:type="paragraph" w:customStyle="1" w:styleId="223">
    <w:name w:val="标准文件_引言三级无标题"/>
    <w:basedOn w:val="207"/>
    <w:qFormat/>
    <w:uiPriority w:val="0"/>
    <w:pPr>
      <w:spacing w:before="0" w:beforeLines="0" w:after="0" w:afterLines="0" w:line="276" w:lineRule="auto"/>
    </w:pPr>
    <w:rPr>
      <w:rFonts w:ascii="宋体" w:eastAsia="宋体"/>
    </w:rPr>
  </w:style>
  <w:style w:type="paragraph" w:customStyle="1" w:styleId="224">
    <w:name w:val="标准文件_引言四级无标题"/>
    <w:basedOn w:val="208"/>
    <w:next w:val="61"/>
    <w:qFormat/>
    <w:uiPriority w:val="0"/>
    <w:pPr>
      <w:spacing w:before="0" w:beforeLines="0" w:after="0" w:afterLines="0" w:line="276" w:lineRule="auto"/>
    </w:pPr>
    <w:rPr>
      <w:rFonts w:ascii="宋体" w:eastAsia="宋体"/>
    </w:rPr>
  </w:style>
  <w:style w:type="paragraph" w:customStyle="1" w:styleId="225">
    <w:name w:val="标准文件_引言五级无标题"/>
    <w:basedOn w:val="209"/>
    <w:next w:val="61"/>
    <w:qFormat/>
    <w:uiPriority w:val="0"/>
    <w:pPr>
      <w:spacing w:before="0" w:beforeLines="0" w:after="0" w:afterLines="0" w:line="276" w:lineRule="auto"/>
    </w:pPr>
    <w:rPr>
      <w:rFonts w:ascii="宋体" w:eastAsia="宋体"/>
    </w:rPr>
  </w:style>
  <w:style w:type="paragraph" w:customStyle="1" w:styleId="226">
    <w:name w:val="标准文件_索引标题"/>
    <w:basedOn w:val="68"/>
    <w:next w:val="61"/>
    <w:qFormat/>
    <w:uiPriority w:val="0"/>
  </w:style>
  <w:style w:type="paragraph" w:customStyle="1" w:styleId="227">
    <w:name w:val="标准文件_脚注内容"/>
    <w:basedOn w:val="61"/>
    <w:qFormat/>
    <w:uiPriority w:val="0"/>
    <w:pPr>
      <w:ind w:left="400" w:leftChars="200" w:hanging="200" w:hangingChars="200"/>
    </w:pPr>
    <w:rPr>
      <w:sz w:val="15"/>
    </w:rPr>
  </w:style>
  <w:style w:type="paragraph" w:customStyle="1" w:styleId="228">
    <w:name w:val="标准文件_术语条一"/>
    <w:basedOn w:val="167"/>
    <w:next w:val="61"/>
    <w:qFormat/>
    <w:uiPriority w:val="0"/>
    <w:rPr>
      <w:rFonts w:ascii="黑体" w:hAnsi="黑体" w:eastAsia="黑体"/>
    </w:rPr>
  </w:style>
  <w:style w:type="paragraph" w:customStyle="1" w:styleId="229">
    <w:name w:val="标准文件_术语条二"/>
    <w:basedOn w:val="170"/>
    <w:next w:val="61"/>
    <w:qFormat/>
    <w:uiPriority w:val="0"/>
    <w:rPr>
      <w:rFonts w:ascii="黑体" w:hAnsi="黑体" w:eastAsia="黑体"/>
    </w:rPr>
  </w:style>
  <w:style w:type="paragraph" w:customStyle="1" w:styleId="230">
    <w:name w:val="标准文件_术语条三"/>
    <w:basedOn w:val="169"/>
    <w:next w:val="61"/>
    <w:qFormat/>
    <w:uiPriority w:val="0"/>
    <w:rPr>
      <w:rFonts w:ascii="黑体" w:hAnsi="黑体" w:eastAsia="黑体"/>
    </w:rPr>
  </w:style>
  <w:style w:type="paragraph" w:customStyle="1" w:styleId="231">
    <w:name w:val="标准文件_术语条四"/>
    <w:basedOn w:val="172"/>
    <w:next w:val="61"/>
    <w:qFormat/>
    <w:uiPriority w:val="0"/>
    <w:rPr>
      <w:rFonts w:ascii="黑体" w:eastAsia="黑体"/>
    </w:rPr>
  </w:style>
  <w:style w:type="paragraph" w:customStyle="1" w:styleId="232">
    <w:name w:val="标准文件_术语条五"/>
    <w:basedOn w:val="168"/>
    <w:next w:val="61"/>
    <w:qFormat/>
    <w:uiPriority w:val="0"/>
    <w:rPr>
      <w:rFonts w:ascii="黑体" w:hAnsi="黑体" w:eastAsia="黑体"/>
    </w:rPr>
  </w:style>
  <w:style w:type="paragraph" w:customStyle="1" w:styleId="23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4">
    <w:name w:val="发布"/>
    <w:basedOn w:val="32"/>
    <w:qFormat/>
    <w:uiPriority w:val="0"/>
    <w:rPr>
      <w:rFonts w:ascii="黑体" w:eastAsia="黑体"/>
      <w:spacing w:val="85"/>
      <w:w w:val="100"/>
      <w:position w:val="3"/>
      <w:sz w:val="28"/>
      <w:szCs w:val="28"/>
    </w:rPr>
  </w:style>
  <w:style w:type="character" w:customStyle="1" w:styleId="235">
    <w:name w:val="标准称谓 Char"/>
    <w:link w:val="55"/>
    <w:qFormat/>
    <w:uiPriority w:val="0"/>
    <w:rPr>
      <w:rFonts w:ascii="宋体" w:hAnsi="Times New Roman" w:eastAsia="宋体" w:cs="Times New Roman"/>
      <w:b/>
      <w:bCs/>
      <w:w w:val="148"/>
      <w:sz w:val="52"/>
      <w:lang w:val="en-US" w:eastAsia="zh-CN" w:bidi="ar-SA"/>
    </w:rPr>
  </w:style>
  <w:style w:type="character" w:customStyle="1" w:styleId="236">
    <w:name w:val="标准标志 Char"/>
    <w:link w:val="54"/>
    <w:qFormat/>
    <w:uiPriority w:val="0"/>
    <w:rPr>
      <w:rFonts w:ascii="Times New Roman" w:hAnsi="Times New Roman" w:eastAsia="宋体" w:cs="Times New Roman"/>
      <w:b/>
      <w:w w:val="130"/>
      <w:sz w:val="96"/>
      <w:lang w:val="en-US" w:eastAsia="zh-CN" w:bidi="ar-SA"/>
    </w:rPr>
  </w:style>
  <w:style w:type="character" w:customStyle="1" w:styleId="237">
    <w:name w:val="封面一致性程度标识 Char"/>
    <w:link w:val="131"/>
    <w:qFormat/>
    <w:uiPriority w:val="0"/>
    <w:rPr>
      <w:rFonts w:ascii="黑体" w:hAnsi="黑体" w:eastAsia="黑体" w:cs="黑体"/>
      <w:sz w:val="28"/>
      <w:lang w:val="en-US" w:eastAsia="zh-CN" w:bidi="ar-SA"/>
    </w:rPr>
  </w:style>
  <w:style w:type="paragraph" w:customStyle="1" w:styleId="23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39">
    <w:name w:val="参考文献、索引标题"/>
    <w:basedOn w:val="1"/>
    <w:next w:val="238"/>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240">
    <w:name w:val="Revision"/>
    <w:hidden/>
    <w:unhideWhenUsed/>
    <w:qFormat/>
    <w:uiPriority w:val="99"/>
    <w:rPr>
      <w:rFonts w:ascii="Calibri" w:hAnsi="Calibri" w:eastAsia="宋体" w:cs="Times New Roman"/>
      <w:kern w:val="2"/>
      <w:sz w:val="21"/>
      <w:szCs w:val="21"/>
      <w:lang w:val="en-US" w:eastAsia="zh-CN" w:bidi="ar-SA"/>
    </w:rPr>
  </w:style>
  <w:style w:type="character" w:customStyle="1" w:styleId="241">
    <w:name w:val="批注文字 字符"/>
    <w:basedOn w:val="32"/>
    <w:link w:val="13"/>
    <w:semiHidden/>
    <w:qFormat/>
    <w:uiPriority w:val="99"/>
    <w:rPr>
      <w:rFonts w:ascii="Calibri" w:hAnsi="Calibri"/>
      <w:kern w:val="2"/>
      <w:sz w:val="21"/>
      <w:szCs w:val="21"/>
    </w:rPr>
  </w:style>
  <w:style w:type="character" w:customStyle="1" w:styleId="242">
    <w:name w:val="批注主题 字符"/>
    <w:basedOn w:val="241"/>
    <w:link w:val="29"/>
    <w:semiHidden/>
    <w:qFormat/>
    <w:uiPriority w:val="99"/>
    <w:rPr>
      <w:rFonts w:ascii="Calibri" w:hAnsi="Calibri"/>
      <w:b/>
      <w:bCs/>
      <w:kern w:val="2"/>
      <w:sz w:val="21"/>
      <w:szCs w:val="21"/>
    </w:rPr>
  </w:style>
  <w:style w:type="character" w:customStyle="1" w:styleId="243">
    <w:name w:val="Unresolved Mention"/>
    <w:basedOn w:val="32"/>
    <w:semiHidden/>
    <w:unhideWhenUsed/>
    <w:qFormat/>
    <w:uiPriority w:val="99"/>
    <w:rPr>
      <w:color w:val="605E5C"/>
      <w:shd w:val="clear" w:color="auto" w:fill="E1DFDD"/>
    </w:rPr>
  </w:style>
  <w:style w:type="paragraph" w:customStyle="1" w:styleId="244">
    <w:name w:val="WPSOffice手动目录 1"/>
    <w:qFormat/>
    <w:uiPriority w:val="0"/>
    <w:pPr>
      <w:ind w:leftChars="0"/>
    </w:pPr>
    <w:rPr>
      <w:rFonts w:ascii="Times New Roman" w:hAnsi="Times New Roman" w:eastAsia="宋体" w:cs="Times New Roman"/>
      <w:sz w:val="20"/>
      <w:szCs w:val="20"/>
    </w:rPr>
  </w:style>
  <w:style w:type="paragraph" w:customStyle="1" w:styleId="245">
    <w:name w:val="WPSOffice手动目录 2"/>
    <w:qFormat/>
    <w:uiPriority w:val="0"/>
    <w:pPr>
      <w:ind w:leftChars="200"/>
    </w:pPr>
    <w:rPr>
      <w:rFonts w:ascii="Times New Roman" w:hAnsi="Times New Roman" w:eastAsia="宋体" w:cs="Times New Roman"/>
      <w:sz w:val="20"/>
      <w:szCs w:val="20"/>
    </w:rPr>
  </w:style>
  <w:style w:type="paragraph" w:customStyle="1" w:styleId="246">
    <w:name w:val="终结线"/>
    <w:basedOn w:val="1"/>
    <w:autoRedefine/>
    <w:qFormat/>
    <w:uiPriority w:val="0"/>
    <w:pPr>
      <w:framePr w:hSpace="181" w:vSpace="181" w:wrap="around" w:vAnchor="text" w:hAnchor="margin" w:xAlign="center" w:y="285"/>
    </w:p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B8623DBB2C24B3899CB0B000E5C5DBB"/>
        <w:style w:val=""/>
        <w:category>
          <w:name w:val="常规"/>
          <w:gallery w:val="placeholder"/>
        </w:category>
        <w:types>
          <w:type w:val="bbPlcHdr"/>
        </w:types>
        <w:behaviors>
          <w:behavior w:val="content"/>
        </w:behaviors>
        <w:description w:val=""/>
        <w:guid w:val="{82DA0A6E-57A9-4F44-8F0C-2065C91B6EC0}"/>
      </w:docPartPr>
      <w:docPartBody>
        <w:p w14:paraId="7AD9FCD5">
          <w:pPr>
            <w:pStyle w:val="5"/>
          </w:pPr>
          <w:r>
            <w:rPr>
              <w:rStyle w:val="4"/>
              <w:rFonts w:hint="eastAsia"/>
            </w:rPr>
            <w:t>选择一项。</w:t>
          </w:r>
        </w:p>
      </w:docPartBody>
    </w:docPart>
    <w:docPart>
      <w:docPartPr>
        <w:name w:val="{ee073880-b451-4ff0-9253-5135824a1eff}"/>
        <w:style w:val=""/>
        <w:category>
          <w:name w:val="常规"/>
          <w:gallery w:val="placeholder"/>
        </w:category>
        <w:types>
          <w:type w:val="bbPlcHdr"/>
        </w:types>
        <w:behaviors>
          <w:behavior w:val="content"/>
        </w:behaviors>
        <w:description w:val=""/>
        <w:guid w:val="{EE073880-B451-4FF0-9253-5135824A1EFF}"/>
      </w:docPartPr>
      <w:docPartBody>
        <w:p w14:paraId="662B8DA0">
          <w:r>
            <w:rPr>
              <w:color w:val="808080"/>
            </w:rPr>
            <w:t>点击此处添加标准名称</w:t>
          </w:r>
        </w:p>
      </w:docPartBody>
    </w:docPart>
    <w:docPart>
      <w:docPartPr>
        <w:name w:val="{7be65522-be42-417e-a61a-794d4bc9e243}"/>
        <w:style w:val=""/>
        <w:category>
          <w:name w:val="常规"/>
          <w:gallery w:val="placeholder"/>
        </w:category>
        <w:types>
          <w:type w:val="bbPlcHdr"/>
        </w:types>
        <w:behaviors>
          <w:behavior w:val="content"/>
        </w:behaviors>
        <w:description w:val=""/>
        <w:guid w:val="{7BE65522-BE42-417E-A61A-794D4BC9E243}"/>
      </w:docPartPr>
      <w:docPartBody>
        <w:p w14:paraId="7762D2AA">
          <w:r>
            <w:rPr>
              <w:color w:val="808080"/>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23E"/>
    <w:rsid w:val="0032375B"/>
    <w:rsid w:val="003C3104"/>
    <w:rsid w:val="00C722F1"/>
    <w:rsid w:val="00EB2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B8623DBB2C24B3899CB0B000E5C5DBB"/>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8FE12C-16EA-4F8F-A8A1-ED38DA65EEBC}">
  <ds:schemaRefs/>
</ds:datastoreItem>
</file>

<file path=docProps/app.xml><?xml version="1.0" encoding="utf-8"?>
<Properties xmlns="http://schemas.openxmlformats.org/officeDocument/2006/extended-properties" xmlns:vt="http://schemas.openxmlformats.org/officeDocument/2006/docPropsVTypes">
  <Template>C:\Program Files (x86)\StandardEditor\template\行业标准.dotx</Template>
  <Company>PCMI</Company>
  <Pages>10</Pages>
  <Words>5801</Words>
  <Characters>6860</Characters>
  <Lines>70</Lines>
  <Paragraphs>19</Paragraphs>
  <TotalTime>12</TotalTime>
  <ScaleCrop>false</ScaleCrop>
  <LinksUpToDate>false</LinksUpToDate>
  <CharactersWithSpaces>7231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2023-06-15T08:31:00Z</dcterms:created>
  <dc:creator>ekk12</dc:creator>
  <dc:description>&lt;config cover="true" show_menu="true" version="1.0.0" doctype="SDKXY"&gt;_x000d_
&lt;/config&gt;</dc:description>
  <cp:lastModifiedBy>WPS_655445547</cp:lastModifiedBy>
  <cp:lastPrinted>2021-02-02T08:18:00Z</cp:lastPrinted>
  <dcterms:modified xsi:type="dcterms:W3CDTF">2026-06-30T01:06:37Z</dcterms:modified>
  <dc:title>行业标准</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2052-12.1.0.26895</vt:lpwstr>
  </property>
  <property fmtid="{D5CDD505-2E9C-101B-9397-08002B2CF9AE}" pid="15" name="ICV">
    <vt:lpwstr>03538B6398DD45E489BA75F82A756996_13</vt:lpwstr>
  </property>
  <property fmtid="{D5CDD505-2E9C-101B-9397-08002B2CF9AE}" pid="16" name="KSOTemplateDocerSaveRecord">
    <vt:lpwstr>eyJoZGlkIjoiNWI5NTQ2MzRjOGRlZmY4NjBmNmNmZWQ1ZDgxNzA5MWMiLCJ1c2VySWQiOiIyMjY1MjA0MTcifQ==</vt:lpwstr>
  </property>
</Properties>
</file>