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34361">
      <w:pPr>
        <w:framePr w:w="904" w:h="1540" w:hRule="exact" w:wrap="around" w:vAnchor="page" w:hAnchor="page" w:x="8621" w:y="194"/>
        <w:widowControl/>
        <w:shd w:val="solid" w:color="FFFFFF" w:fill="FFFFFF"/>
        <w:spacing w:line="0" w:lineRule="atLeast"/>
        <w:rPr>
          <w:rFonts w:hint="eastAsia" w:ascii="等线" w:hAnsi="等线" w:eastAsia="等线" w:cs="等线"/>
          <w:b/>
          <w:w w:val="130"/>
          <w:kern w:val="0"/>
          <w:sz w:val="100"/>
          <w:szCs w:val="100"/>
        </w:rPr>
      </w:pPr>
      <w:r>
        <w:rPr>
          <w:rFonts w:hint="eastAsia" w:ascii="等线" w:hAnsi="等线" w:eastAsia="等线" w:cs="等线"/>
          <w:b/>
          <w:w w:val="130"/>
          <w:kern w:val="0"/>
          <w:sz w:val="110"/>
          <w:szCs w:val="110"/>
        </w:rPr>
        <w:t>T</w:t>
      </w:r>
    </w:p>
    <w:p w14:paraId="1EBA4B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Cs w:val="22"/>
          <w:lang w:eastAsia="zh-CN"/>
        </w:rPr>
      </w:pPr>
    </w:p>
    <w:p w14:paraId="5BF4A1A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color w:val="FF0000"/>
          <w:szCs w:val="22"/>
          <w:lang w:val="en-US" w:eastAsia="zh-CN"/>
        </w:rPr>
      </w:pPr>
      <w:r>
        <w:rPr>
          <w:rFonts w:hint="eastAsia" w:ascii="黑体" w:hAnsi="黑体" w:eastAsia="黑体" w:cs="黑体"/>
          <w:szCs w:val="22"/>
        </w:rPr>
        <w:t xml:space="preserve">ICS </w:t>
      </w:r>
      <w:r>
        <w:rPr>
          <w:rFonts w:hint="eastAsia" w:ascii="黑体" w:hAnsi="黑体" w:eastAsia="黑体" w:cs="黑体"/>
          <w:szCs w:val="22"/>
          <w:lang w:val="en-US" w:eastAsia="zh-CN"/>
        </w:rPr>
        <w:t xml:space="preserve"> 13</w:t>
      </w:r>
      <w:r>
        <w:rPr>
          <w:rFonts w:hint="eastAsia" w:ascii="黑体" w:hAnsi="黑体" w:eastAsia="黑体" w:cs="黑体"/>
          <w:szCs w:val="22"/>
        </w:rPr>
        <w:t>.</w:t>
      </w:r>
      <w:r>
        <w:rPr>
          <w:rFonts w:hint="eastAsia" w:ascii="黑体" w:hAnsi="黑体" w:eastAsia="黑体" w:cs="黑体"/>
          <w:szCs w:val="22"/>
          <w:lang w:val="en-US" w:eastAsia="zh-CN"/>
        </w:rPr>
        <w:t>340</w:t>
      </w:r>
      <w:r>
        <w:rPr>
          <w:rFonts w:hint="eastAsia" w:ascii="黑体" w:hAnsi="黑体" w:eastAsia="黑体" w:cs="黑体"/>
          <w:szCs w:val="22"/>
        </w:rPr>
        <w:t>.</w:t>
      </w:r>
      <w:r>
        <w:rPr>
          <w:rFonts w:hint="eastAsia" w:ascii="黑体" w:hAnsi="黑体" w:eastAsia="黑体" w:cs="黑体"/>
          <w:szCs w:val="22"/>
          <w:lang w:val="en-US" w:eastAsia="zh-CN"/>
        </w:rPr>
        <w:t>99</w:t>
      </w:r>
      <w:r>
        <w:rPr>
          <w:rFonts w:hint="eastAsia" w:ascii="黑体" w:hAnsi="黑体" w:eastAsia="黑体" w:cs="黑体"/>
          <w:szCs w:val="22"/>
        </w:rPr>
        <w:t xml:space="preserve">   </w:t>
      </w:r>
      <w:r>
        <w:rPr>
          <w:rFonts w:hint="eastAsia" w:ascii="黑体" w:hAnsi="黑体" w:eastAsia="黑体" w:cs="黑体"/>
          <w:szCs w:val="22"/>
          <w:lang w:val="en-US" w:eastAsia="zh-CN"/>
        </w:rPr>
        <w:t xml:space="preserve">    </w:t>
      </w:r>
    </w:p>
    <w:p w14:paraId="02484EC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r>
        <w:rPr>
          <w:rFonts w:hint="eastAsia" w:ascii="黑体" w:hAnsi="黑体" w:eastAsia="黑体" w:cs="黑体"/>
          <w:szCs w:val="22"/>
        </w:rPr>
        <w:t xml:space="preserve">CCS  </w:t>
      </w:r>
      <w:r>
        <w:rPr>
          <w:rFonts w:hint="eastAsia" w:ascii="黑体" w:hAnsi="黑体" w:eastAsia="黑体" w:cs="黑体"/>
          <w:szCs w:val="22"/>
          <w:lang w:val="en-US" w:eastAsia="zh-CN"/>
        </w:rPr>
        <w:t>K</w:t>
      </w:r>
      <w:r>
        <w:rPr>
          <w:rFonts w:hint="eastAsia" w:ascii="黑体" w:hAnsi="黑体" w:eastAsia="黑体" w:cs="黑体"/>
          <w:szCs w:val="22"/>
        </w:rPr>
        <w:t xml:space="preserve"> </w:t>
      </w:r>
      <w:r>
        <w:rPr>
          <w:rFonts w:hint="eastAsia" w:ascii="黑体" w:hAnsi="黑体" w:eastAsia="黑体" w:cs="黑体"/>
          <w:szCs w:val="22"/>
          <w:lang w:val="en-US" w:eastAsia="zh-CN"/>
        </w:rPr>
        <w:t>15</w:t>
      </w:r>
    </w:p>
    <w:p w14:paraId="1373853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p>
    <w:p w14:paraId="2ADCE863">
      <w:pPr>
        <w:spacing w:beforeAutospacing="0" w:line="360" w:lineRule="auto"/>
        <w:jc w:val="distribute"/>
        <w:rPr>
          <w:rFonts w:hint="eastAsia" w:ascii="隶属" w:hAnsi="隶属" w:eastAsia="隶属" w:cs="隶属"/>
          <w:b/>
          <w:bCs/>
          <w:sz w:val="84"/>
          <w:szCs w:val="84"/>
        </w:rPr>
      </w:pPr>
      <w:r>
        <w:rPr>
          <w:rFonts w:hint="eastAsia" w:ascii="黑体" w:hAnsi="黑体" w:eastAsia="黑体" w:cs="黑体"/>
          <w:b/>
          <w:bCs/>
          <w:sz w:val="84"/>
          <w:szCs w:val="84"/>
        </w:rPr>
        <w:t>团体标准</w:t>
      </w:r>
    </w:p>
    <w:p w14:paraId="344E3D92">
      <w:pPr>
        <w:wordWrap w:val="0"/>
        <w:spacing w:line="360" w:lineRule="auto"/>
        <w:ind w:right="0" w:rightChars="0"/>
        <w:jc w:val="right"/>
        <w:rPr>
          <w:rFonts w:hint="eastAsia" w:ascii="Times New Roman" w:hAnsi="Times New Roman" w:eastAsia="黑体" w:cs="Times New Roman"/>
          <w:szCs w:val="22"/>
          <w:lang w:val="en-US" w:eastAsia="zh-CN"/>
        </w:rPr>
      </w:pPr>
      <w:r>
        <w:rPr>
          <w:rFonts w:ascii="Times New Roman" w:hAnsi="Times New Roman" w:eastAsia="宋体" w:cs="Times New Roman"/>
          <w:color w:val="FF0000"/>
          <w:szCs w:val="22"/>
        </w:rPr>
        <w:t xml:space="preserve"> </w:t>
      </w:r>
      <w:r>
        <w:rPr>
          <w:rFonts w:ascii="Times New Roman" w:hAnsi="Times New Roman" w:eastAsia="宋体" w:cs="Times New Roman"/>
          <w:szCs w:val="22"/>
        </w:rPr>
        <w:t xml:space="preserve">  </w:t>
      </w:r>
      <w:r>
        <w:rPr>
          <w:rFonts w:hint="eastAsia" w:ascii="Times New Roman" w:hAnsi="Times New Roman" w:cs="Times New Roman"/>
          <w:szCs w:val="22"/>
          <w:lang w:val="en-US" w:eastAsia="zh-CN"/>
        </w:rPr>
        <w:t xml:space="preserve"> </w:t>
      </w:r>
      <w:r>
        <w:rPr>
          <w:rFonts w:hint="eastAsia" w:ascii="黑体" w:hAnsi="黑体" w:eastAsia="黑体" w:cs="黑体"/>
          <w:sz w:val="28"/>
          <w:szCs w:val="28"/>
        </w:rPr>
        <w:t xml:space="preserve"> T/</w:t>
      </w:r>
      <w:r>
        <w:rPr>
          <w:rFonts w:hint="eastAsia" w:ascii="黑体" w:hAnsi="黑体" w:eastAsia="黑体" w:cs="黑体"/>
          <w:sz w:val="28"/>
          <w:szCs w:val="28"/>
          <w:lang w:val="en-US" w:eastAsia="zh-CN"/>
        </w:rPr>
        <w:t>CWDPA</w:t>
      </w: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XXX</w:t>
      </w:r>
      <w:r>
        <w:rPr>
          <w:rFonts w:hint="eastAsia" w:ascii="黑体" w:hAnsi="黑体" w:eastAsia="黑体" w:cs="黑体"/>
          <w:sz w:val="28"/>
          <w:szCs w:val="28"/>
        </w:rPr>
        <w:t>—202</w:t>
      </w:r>
      <w:r>
        <w:rPr>
          <w:rFonts w:hint="eastAsia" w:ascii="黑体" w:hAnsi="黑体" w:eastAsia="黑体" w:cs="黑体"/>
          <w:sz w:val="28"/>
          <w:szCs w:val="28"/>
          <w:lang w:val="en-US" w:eastAsia="zh-CN"/>
        </w:rPr>
        <w:t>6</w:t>
      </w:r>
    </w:p>
    <w:p w14:paraId="582FB557">
      <w:pPr>
        <w:spacing w:line="360" w:lineRule="auto"/>
        <w:jc w:val="left"/>
        <w:rPr>
          <w:rFonts w:ascii="Times New Roman" w:hAnsi="Times New Roman" w:eastAsia="宋体" w:cs="Times New Roman"/>
          <w:szCs w:val="22"/>
        </w:rPr>
      </w:pPr>
      <w:r>
        <w:rPr>
          <w:rFonts w:ascii="Times New Roman" w:hAnsi="Times New Roman" w:eastAsia="宋体" w:cs="Times New Roman"/>
          <w:szCs w:val="22"/>
        </w:rPr>
        <w:drawing>
          <wp:inline distT="0" distB="0" distL="114300" distR="114300">
            <wp:extent cx="5525770" cy="1079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525770" cy="10795"/>
                    </a:xfrm>
                    <a:prstGeom prst="rect">
                      <a:avLst/>
                    </a:prstGeom>
                    <a:noFill/>
                    <a:ln>
                      <a:noFill/>
                    </a:ln>
                  </pic:spPr>
                </pic:pic>
              </a:graphicData>
            </a:graphic>
          </wp:inline>
        </w:drawing>
      </w:r>
    </w:p>
    <w:p w14:paraId="25AC21B8">
      <w:pPr>
        <w:spacing w:line="360" w:lineRule="auto"/>
        <w:rPr>
          <w:rFonts w:ascii="Times New Roman" w:hAnsi="Times New Roman" w:eastAsia="宋体" w:cs="Times New Roman"/>
          <w:szCs w:val="22"/>
        </w:rPr>
      </w:pPr>
    </w:p>
    <w:p w14:paraId="2E3D06D4">
      <w:pPr>
        <w:spacing w:line="360" w:lineRule="auto"/>
        <w:rPr>
          <w:rFonts w:ascii="Times New Roman" w:hAnsi="Times New Roman" w:eastAsia="宋体" w:cs="Times New Roman"/>
          <w:szCs w:val="22"/>
        </w:rPr>
      </w:pPr>
    </w:p>
    <w:p w14:paraId="118AED41">
      <w:pPr>
        <w:spacing w:line="360" w:lineRule="auto"/>
        <w:jc w:val="center"/>
        <w:rPr>
          <w:rFonts w:ascii="Times New Roman" w:hAnsi="Times New Roman" w:eastAsia="黑体" w:cs="Times New Roman"/>
          <w:sz w:val="52"/>
          <w:szCs w:val="52"/>
        </w:rPr>
      </w:pPr>
    </w:p>
    <w:p w14:paraId="6D94EED4">
      <w:pPr>
        <w:spacing w:line="360" w:lineRule="auto"/>
        <w:jc w:val="center"/>
        <w:rPr>
          <w:rFonts w:ascii="Times New Roman" w:hAnsi="Times New Roman" w:eastAsia="黑体" w:cs="Times New Roman"/>
          <w:sz w:val="52"/>
          <w:szCs w:val="52"/>
        </w:rPr>
      </w:pPr>
    </w:p>
    <w:p w14:paraId="3A02617A">
      <w:pPr>
        <w:spacing w:line="360" w:lineRule="auto"/>
        <w:jc w:val="center"/>
        <w:rPr>
          <w:rFonts w:ascii="Times New Roman" w:hAnsi="Times New Roman" w:eastAsia="黑体" w:cs="Times New Roman"/>
          <w:sz w:val="52"/>
          <w:szCs w:val="52"/>
        </w:rPr>
      </w:pPr>
      <w:r>
        <w:rPr>
          <w:rFonts w:hint="eastAsia" w:ascii="Times New Roman" w:hAnsi="Times New Roman" w:eastAsia="黑体" w:cs="Times New Roman"/>
          <w:sz w:val="52"/>
          <w:szCs w:val="52"/>
          <w:lang w:val="en-US" w:eastAsia="zh-CN"/>
        </w:rPr>
        <w:t>电力拉线保护套</w:t>
      </w:r>
    </w:p>
    <w:p w14:paraId="659402C9">
      <w:pPr>
        <w:spacing w:line="360" w:lineRule="auto"/>
        <w:jc w:val="center"/>
        <w:rPr>
          <w:rFonts w:ascii="Times New Roman" w:hAnsi="Times New Roman" w:eastAsia="黑体" w:cs="Times New Roman"/>
          <w:sz w:val="28"/>
          <w:szCs w:val="28"/>
        </w:rPr>
      </w:pPr>
      <w:r>
        <w:rPr>
          <w:rFonts w:ascii="Times New Roman" w:hAnsi="Times New Roman" w:eastAsia="黑体" w:cs="Times New Roman"/>
          <w:sz w:val="28"/>
          <w:szCs w:val="28"/>
        </w:rPr>
        <w:t xml:space="preserve">Power </w:t>
      </w:r>
      <w:r>
        <w:rPr>
          <w:rFonts w:hint="eastAsia" w:ascii="Times New Roman" w:hAnsi="Times New Roman" w:eastAsia="黑体" w:cs="Times New Roman"/>
          <w:sz w:val="28"/>
          <w:szCs w:val="28"/>
          <w:lang w:val="en-US" w:eastAsia="zh-CN"/>
        </w:rPr>
        <w:t>s</w:t>
      </w:r>
      <w:r>
        <w:rPr>
          <w:rFonts w:ascii="Times New Roman" w:hAnsi="Times New Roman" w:eastAsia="黑体" w:cs="Times New Roman"/>
          <w:sz w:val="28"/>
          <w:szCs w:val="28"/>
        </w:rPr>
        <w:t xml:space="preserve">tay </w:t>
      </w:r>
      <w:r>
        <w:rPr>
          <w:rFonts w:hint="eastAsia" w:ascii="Times New Roman" w:hAnsi="Times New Roman" w:eastAsia="黑体" w:cs="Times New Roman"/>
          <w:sz w:val="28"/>
          <w:szCs w:val="28"/>
          <w:lang w:val="en-US" w:eastAsia="zh-CN"/>
        </w:rPr>
        <w:t>w</w:t>
      </w:r>
      <w:r>
        <w:rPr>
          <w:rFonts w:ascii="Times New Roman" w:hAnsi="Times New Roman" w:eastAsia="黑体" w:cs="Times New Roman"/>
          <w:sz w:val="28"/>
          <w:szCs w:val="28"/>
        </w:rPr>
        <w:t xml:space="preserve">ire </w:t>
      </w:r>
      <w:r>
        <w:rPr>
          <w:rFonts w:hint="eastAsia" w:ascii="Times New Roman" w:hAnsi="Times New Roman" w:eastAsia="黑体" w:cs="Times New Roman"/>
          <w:sz w:val="28"/>
          <w:szCs w:val="28"/>
          <w:lang w:val="en-US" w:eastAsia="zh-CN"/>
        </w:rPr>
        <w:t>p</w:t>
      </w:r>
      <w:r>
        <w:rPr>
          <w:rFonts w:ascii="Times New Roman" w:hAnsi="Times New Roman" w:eastAsia="黑体" w:cs="Times New Roman"/>
          <w:sz w:val="28"/>
          <w:szCs w:val="28"/>
        </w:rPr>
        <w:t xml:space="preserve">rotective </w:t>
      </w:r>
      <w:r>
        <w:rPr>
          <w:rFonts w:hint="eastAsia" w:ascii="Times New Roman" w:hAnsi="Times New Roman" w:eastAsia="黑体" w:cs="Times New Roman"/>
          <w:sz w:val="28"/>
          <w:szCs w:val="28"/>
          <w:lang w:val="en-US" w:eastAsia="zh-CN"/>
        </w:rPr>
        <w:t>s</w:t>
      </w:r>
      <w:r>
        <w:rPr>
          <w:rFonts w:ascii="Times New Roman" w:hAnsi="Times New Roman" w:eastAsia="黑体" w:cs="Times New Roman"/>
          <w:sz w:val="28"/>
          <w:szCs w:val="28"/>
        </w:rPr>
        <w:t>leeve</w:t>
      </w:r>
    </w:p>
    <w:p w14:paraId="3E031993">
      <w:pPr>
        <w:spacing w:line="360" w:lineRule="auto"/>
        <w:jc w:val="left"/>
        <w:rPr>
          <w:rFonts w:ascii="Times New Roman" w:hAnsi="Times New Roman" w:eastAsia="黑体" w:cs="Times New Roman"/>
          <w:sz w:val="28"/>
          <w:szCs w:val="28"/>
        </w:rPr>
      </w:pPr>
    </w:p>
    <w:p w14:paraId="3C3CAA2E">
      <w:pPr>
        <w:spacing w:line="360" w:lineRule="auto"/>
        <w:jc w:val="left"/>
        <w:rPr>
          <w:rFonts w:ascii="Times New Roman" w:hAnsi="Times New Roman" w:eastAsia="黑体" w:cs="Times New Roman"/>
          <w:sz w:val="28"/>
          <w:szCs w:val="28"/>
        </w:rPr>
      </w:pPr>
    </w:p>
    <w:p w14:paraId="10943405">
      <w:pPr>
        <w:spacing w:line="360" w:lineRule="auto"/>
        <w:jc w:val="left"/>
        <w:rPr>
          <w:rFonts w:ascii="Times New Roman" w:hAnsi="Times New Roman" w:eastAsia="黑体" w:cs="Times New Roman"/>
          <w:sz w:val="28"/>
          <w:szCs w:val="28"/>
        </w:rPr>
      </w:pPr>
    </w:p>
    <w:p w14:paraId="65A79BEE">
      <w:pPr>
        <w:spacing w:line="360" w:lineRule="auto"/>
        <w:jc w:val="left"/>
        <w:rPr>
          <w:rFonts w:ascii="Times New Roman" w:hAnsi="Times New Roman" w:eastAsia="黑体" w:cs="Times New Roman"/>
          <w:sz w:val="28"/>
          <w:szCs w:val="28"/>
        </w:rPr>
      </w:pPr>
    </w:p>
    <w:p w14:paraId="46F98BA2">
      <w:pPr>
        <w:spacing w:line="360" w:lineRule="auto"/>
        <w:jc w:val="left"/>
        <w:rPr>
          <w:rFonts w:ascii="Times New Roman" w:hAnsi="Times New Roman" w:eastAsia="黑体" w:cs="Times New Roman"/>
          <w:sz w:val="28"/>
          <w:szCs w:val="28"/>
        </w:rPr>
      </w:pPr>
    </w:p>
    <w:p w14:paraId="057ACF6F">
      <w:pPr>
        <w:spacing w:line="360" w:lineRule="auto"/>
        <w:jc w:val="left"/>
        <w:rPr>
          <w:rFonts w:ascii="Times New Roman" w:hAnsi="Times New Roman" w:eastAsia="黑体" w:cs="Times New Roman"/>
          <w:sz w:val="28"/>
          <w:szCs w:val="28"/>
        </w:rPr>
      </w:pPr>
    </w:p>
    <w:p w14:paraId="095F21CD">
      <w:pPr>
        <w:spacing w:line="360" w:lineRule="auto"/>
        <w:jc w:val="left"/>
        <w:rPr>
          <w:rFonts w:ascii="Times New Roman" w:hAnsi="Times New Roman" w:eastAsia="黑体" w:cs="Times New Roman"/>
          <w:sz w:val="28"/>
          <w:szCs w:val="28"/>
        </w:rPr>
      </w:pPr>
    </w:p>
    <w:p w14:paraId="1E88DFD7">
      <w:pPr>
        <w:spacing w:line="360" w:lineRule="auto"/>
        <w:jc w:val="left"/>
        <w:rPr>
          <w:rFonts w:ascii="Times New Roman" w:hAnsi="Times New Roman" w:eastAsia="黑体" w:cs="Times New Roman"/>
          <w:sz w:val="28"/>
          <w:szCs w:val="28"/>
        </w:rPr>
      </w:pPr>
    </w:p>
    <w:p w14:paraId="31D4674C">
      <w:pPr>
        <w:spacing w:line="360" w:lineRule="auto"/>
        <w:jc w:val="left"/>
        <w:rPr>
          <w:rFonts w:ascii="Times New Roman" w:hAnsi="Times New Roman" w:eastAsia="黑体" w:cs="Times New Roman"/>
          <w:sz w:val="28"/>
          <w:szCs w:val="28"/>
        </w:rPr>
      </w:pPr>
    </w:p>
    <w:p w14:paraId="6533516B">
      <w:pPr>
        <w:spacing w:line="360" w:lineRule="auto"/>
        <w:jc w:val="left"/>
        <w:rPr>
          <w:rFonts w:hint="eastAsia" w:ascii="黑体" w:hAnsi="黑体" w:eastAsia="黑体" w:cs="黑体"/>
          <w:sz w:val="52"/>
          <w:szCs w:val="52"/>
        </w:rPr>
      </w:pP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 xml:space="preserve">发布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实施</w:t>
      </w:r>
    </w:p>
    <w:p w14:paraId="067624B1">
      <w:pPr>
        <w:spacing w:line="360" w:lineRule="auto"/>
        <w:jc w:val="center"/>
        <w:rPr>
          <w:rFonts w:hint="eastAsia" w:ascii="黑体" w:hAnsi="黑体" w:eastAsia="黑体" w:cs="黑体"/>
          <w:sz w:val="52"/>
          <w:szCs w:val="52"/>
        </w:rPr>
        <w:sectPr>
          <w:footerReference r:id="rId8" w:type="first"/>
          <w:footerReference r:id="rId6" w:type="default"/>
          <w:headerReference r:id="rId5" w:type="even"/>
          <w:footerReference r:id="rId7" w:type="even"/>
          <w:type w:val="continuous"/>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r>
        <w:rPr>
          <w:rFonts w:hint="eastAsia" w:ascii="隶属" w:hAnsi="隶属" w:eastAsia="隶属" w:cs="隶属"/>
          <w:b/>
          <w:bCs/>
          <w:szCs w:val="22"/>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1270</wp:posOffset>
                </wp:positionV>
                <wp:extent cx="5504815" cy="20955"/>
                <wp:effectExtent l="0" t="4445" r="635" b="12700"/>
                <wp:wrapNone/>
                <wp:docPr id="3" name="直接箭头连接符 3"/>
                <wp:cNvGraphicFramePr/>
                <a:graphic xmlns:a="http://schemas.openxmlformats.org/drawingml/2006/main">
                  <a:graphicData uri="http://schemas.microsoft.com/office/word/2010/wordprocessingShape">
                    <wps:wsp>
                      <wps:cNvCnPr/>
                      <wps:spPr>
                        <a:xfrm flipV="1">
                          <a:off x="0" y="0"/>
                          <a:ext cx="5504815" cy="2095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5pt;margin-top:0.1pt;height:1.65pt;width:433.45pt;z-index:251659264;mso-width-relative:page;mso-height-relative:page;" filled="f" stroked="t" coordsize="21600,21600" o:gfxdata="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R7boDVAAAABQEAAA8AAAAAAAAAAQAgAAAAIgAA&#10;AGRycy9kb3ducmV2LnhtbFBLAQIUABQAAAAIAIdO4kBwqksACwIAAAQEAAAOAAAAAAAAAAEAIAAA&#10;ACQBAABkcnMvZTJvRG9jLnhtbFBLBQYAAAAABgAGAFkBAAChBQAAAAA=&#10;">
                <v:fill on="f" focussize="0,0"/>
                <v:stroke color="#000000" joinstyle="round"/>
                <v:imagedata o:title=""/>
                <o:lock v:ext="edit" aspectratio="f"/>
              </v:shape>
            </w:pict>
          </mc:Fallback>
        </mc:AlternateContent>
      </w:r>
      <w:r>
        <w:rPr>
          <w:rFonts w:hint="eastAsia" w:ascii="隶属" w:hAnsi="隶属" w:eastAsia="隶属" w:cs="隶属"/>
          <w:b/>
          <w:bCs/>
          <w:sz w:val="52"/>
          <w:szCs w:val="52"/>
          <w:lang w:eastAsia="zh-CN"/>
        </w:rPr>
        <w:t>中国西部开发促进会</w:t>
      </w:r>
      <w:r>
        <w:rPr>
          <w:rFonts w:hint="eastAsia" w:ascii="黑体" w:hAnsi="黑体" w:eastAsia="黑体" w:cs="黑体"/>
          <w:sz w:val="52"/>
          <w:szCs w:val="52"/>
        </w:rPr>
        <w:t xml:space="preserve"> </w:t>
      </w:r>
      <w:r>
        <w:rPr>
          <w:rFonts w:hint="eastAsia" w:ascii="黑体" w:hAnsi="黑体" w:eastAsia="黑体" w:cs="黑体"/>
          <w:sz w:val="28"/>
          <w:szCs w:val="28"/>
          <w:lang w:val="en-US" w:eastAsia="zh-CN"/>
        </w:rPr>
        <w:t>发 布</w:t>
      </w:r>
      <w:r>
        <w:rPr>
          <w:rFonts w:hint="eastAsia" w:ascii="黑体" w:hAnsi="黑体" w:eastAsia="黑体" w:cs="黑体"/>
          <w:sz w:val="52"/>
          <w:szCs w:val="52"/>
        </w:rPr>
        <w:t xml:space="preserve"> </w:t>
      </w:r>
    </w:p>
    <w:p w14:paraId="7EA1BE5F">
      <w:pPr>
        <w:pStyle w:val="96"/>
        <w:keepNext w:val="0"/>
        <w:keepLines w:val="0"/>
        <w:pageBreakBefore w:val="0"/>
        <w:widowControl w:val="0"/>
        <w:kinsoku/>
        <w:wordWrap/>
        <w:overflowPunct/>
        <w:topLinePunct w:val="0"/>
        <w:autoSpaceDE/>
        <w:autoSpaceDN/>
        <w:bidi w:val="0"/>
        <w:adjustRightInd w:val="0"/>
        <w:snapToGrid/>
        <w:spacing w:before="850" w:after="680" w:afterLines="0"/>
        <w:textAlignment w:val="auto"/>
      </w:pPr>
      <w:bookmarkStart w:id="0" w:name="BookMark1"/>
      <w:r>
        <w:rPr>
          <w:spacing w:val="320"/>
        </w:rPr>
        <w:t>目</w:t>
      </w:r>
      <w:r>
        <w:t>次</w:t>
      </w:r>
    </w:p>
    <w:p w14:paraId="1DCC7528">
      <w:pPr>
        <w:pStyle w:val="20"/>
        <w:tabs>
          <w:tab w:val="right" w:leader="dot" w:pos="8643"/>
        </w:tabs>
        <w:rPr>
          <w:rFonts w:hint="eastAsia" w:ascii="宋体" w:hAnsi="宋体" w:eastAsia="宋体" w:cs="宋体"/>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TOC \o "1-1" \h \t "标准文件_一级条标题,2,标准文件_附录一级条标题,2,"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_Toc21249 </w:instrText>
      </w:r>
      <w:r>
        <w:rPr>
          <w:rFonts w:hint="eastAsia" w:ascii="宋体" w:hAnsi="宋体" w:eastAsia="宋体" w:cs="宋体"/>
          <w:szCs w:val="21"/>
        </w:rPr>
        <w:fldChar w:fldCharType="separate"/>
      </w:r>
      <w:r>
        <w:rPr>
          <w:rFonts w:hint="eastAsia" w:ascii="宋体" w:hAnsi="宋体" w:eastAsia="宋体" w:cs="宋体"/>
          <w:lang w:eastAsia="zh-CN"/>
        </w:rPr>
        <w:t>前</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_Toc21249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szCs w:val="21"/>
        </w:rPr>
        <w:fldChar w:fldCharType="end"/>
      </w:r>
    </w:p>
    <w:p w14:paraId="00F2263D">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_Toc5902 </w:instrText>
      </w:r>
      <w:r>
        <w:rPr>
          <w:rFonts w:hint="eastAsia" w:ascii="宋体" w:hAnsi="宋体" w:eastAsia="宋体" w:cs="宋体"/>
          <w:szCs w:val="21"/>
        </w:rPr>
        <w:fldChar w:fldCharType="separate"/>
      </w:r>
      <w:r>
        <w:rPr>
          <w:rFonts w:hint="eastAsia" w:ascii="宋体" w:hAnsi="宋体" w:eastAsia="宋体" w:cs="宋体"/>
          <w:i w:val="0"/>
        </w:rPr>
        <w:t xml:space="preserve">1 </w:t>
      </w:r>
      <w:r>
        <w:rPr>
          <w:rFonts w:hint="eastAsia" w:ascii="宋体" w:hAnsi="宋体" w:eastAsia="宋体" w:cs="宋体"/>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_Toc5902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03082642">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_Toc25654 </w:instrText>
      </w:r>
      <w:r>
        <w:rPr>
          <w:rFonts w:hint="eastAsia" w:ascii="宋体" w:hAnsi="宋体" w:eastAsia="宋体" w:cs="宋体"/>
          <w:szCs w:val="21"/>
        </w:rPr>
        <w:fldChar w:fldCharType="separate"/>
      </w:r>
      <w:r>
        <w:rPr>
          <w:rFonts w:hint="eastAsia" w:ascii="宋体" w:hAnsi="宋体" w:eastAsia="宋体" w:cs="宋体"/>
          <w:i w:val="0"/>
        </w:rPr>
        <w:t xml:space="preserve">2 </w:t>
      </w:r>
      <w:r>
        <w:rPr>
          <w:rFonts w:hint="eastAsia" w:ascii="宋体" w:hAnsi="宋体" w:eastAsia="宋体" w:cs="宋体"/>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_Toc25654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75CF426D">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_Toc28865 </w:instrText>
      </w:r>
      <w:r>
        <w:rPr>
          <w:rFonts w:hint="eastAsia" w:ascii="宋体" w:hAnsi="宋体" w:eastAsia="宋体" w:cs="宋体"/>
          <w:szCs w:val="21"/>
        </w:rPr>
        <w:fldChar w:fldCharType="separate"/>
      </w:r>
      <w:r>
        <w:rPr>
          <w:rFonts w:hint="eastAsia" w:ascii="宋体" w:hAnsi="宋体" w:eastAsia="宋体" w:cs="宋体"/>
          <w:i w:val="0"/>
        </w:rPr>
        <w:t xml:space="preserve">3 </w:t>
      </w:r>
      <w:r>
        <w:rPr>
          <w:rFonts w:hint="eastAsia" w:ascii="宋体" w:hAnsi="宋体" w:eastAsia="宋体" w:cs="宋体"/>
          <w:szCs w:val="21"/>
        </w:rPr>
        <w:t>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_Toc28865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0ACBF133">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_Toc31975 </w:instrText>
      </w:r>
      <w:r>
        <w:rPr>
          <w:rFonts w:hint="eastAsia" w:ascii="宋体" w:hAnsi="宋体" w:eastAsia="宋体" w:cs="宋体"/>
          <w:szCs w:val="21"/>
        </w:rPr>
        <w:fldChar w:fldCharType="separate"/>
      </w:r>
      <w:r>
        <w:rPr>
          <w:rFonts w:hint="eastAsia" w:ascii="宋体" w:hAnsi="宋体" w:eastAsia="宋体" w:cs="宋体"/>
          <w:i w:val="0"/>
          <w:szCs w:val="21"/>
        </w:rPr>
        <w:t xml:space="preserve">4 </w:t>
      </w:r>
      <w:r>
        <w:rPr>
          <w:rFonts w:hint="eastAsia" w:ascii="宋体" w:hAnsi="宋体" w:eastAsia="宋体" w:cs="宋体"/>
          <w:szCs w:val="21"/>
          <w:lang w:val="en-US" w:eastAsia="zh-CN"/>
        </w:rPr>
        <w:t>分类与规格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_Toc31975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1E191C41">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_Toc18834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lang w:val="en-US" w:eastAsia="zh-CN"/>
        </w:rPr>
        <w:t>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_Toc18834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25718514">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_Toc5799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lang w:val="en-US" w:eastAsia="zh-CN"/>
        </w:rPr>
        <w:t>规格标记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_Toc5799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437F8C28">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_Toc27541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5 </w:t>
      </w:r>
      <w:r>
        <w:rPr>
          <w:rFonts w:hint="eastAsia" w:ascii="宋体" w:hAnsi="宋体" w:eastAsia="宋体" w:cs="宋体"/>
          <w:szCs w:val="21"/>
          <w:lang w:val="en-US" w:eastAsia="zh-CN"/>
        </w:rPr>
        <w:t>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_Toc27541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6FF521FC">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_Toc30712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lang w:val="en-US" w:eastAsia="zh-CN"/>
        </w:rPr>
        <w:t>一般要求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_Toc30712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2A608B9E">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_Toc12860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lang w:val="en-US" w:eastAsia="zh-CN"/>
        </w:rPr>
        <w:t>外观与尺寸要求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_Toc12860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5EE21612">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_Toc8790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lang w:val="en-US" w:eastAsia="zh-CN"/>
        </w:rPr>
        <w:t>物理机械性能要求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_Toc8790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1E50FBC2">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_Toc32194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lang w:val="en-US" w:eastAsia="zh-CN"/>
        </w:rPr>
        <w:t>电气绝缘性要求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_Toc32194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4A1D4275">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_Toc3840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lang w:val="en-US" w:eastAsia="zh-CN"/>
        </w:rPr>
        <w:t>燃烧性要求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_Toc3840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1D909A16">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_Toc15536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 </w:t>
      </w:r>
      <w:r>
        <w:rPr>
          <w:rFonts w:hint="eastAsia" w:ascii="宋体" w:hAnsi="宋体" w:eastAsia="宋体" w:cs="宋体"/>
          <w:lang w:val="en-US" w:eastAsia="zh-CN"/>
        </w:rPr>
        <w:t>反光警示膜性能要求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_Toc15536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23F51513">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_Toc25211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5.7 </w:t>
      </w:r>
      <w:r>
        <w:rPr>
          <w:rFonts w:hint="eastAsia" w:ascii="宋体" w:hAnsi="宋体" w:eastAsia="宋体" w:cs="宋体"/>
          <w:lang w:val="en-US" w:eastAsia="zh-CN"/>
        </w:rPr>
        <w:t>环境适应性要求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_Toc25211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7E348F9C">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_Toc12478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6 </w:t>
      </w:r>
      <w:r>
        <w:rPr>
          <w:rFonts w:hint="eastAsia" w:ascii="宋体" w:hAnsi="宋体" w:eastAsia="宋体" w:cs="宋体"/>
          <w:szCs w:val="21"/>
          <w:lang w:val="en-US" w:eastAsia="zh-CN"/>
        </w:rPr>
        <w:t>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_Toc12478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03E76F60">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_Toc13317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lang w:val="en-US" w:eastAsia="zh-CN"/>
        </w:rPr>
        <w:t>试验条件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_Toc13317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215C96E0">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_Toc2861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lang w:val="en-US" w:eastAsia="zh-CN"/>
        </w:rPr>
        <w:t>外观与尺寸试验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29864919">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_Toc8495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lang w:val="en-US" w:eastAsia="zh-CN"/>
        </w:rPr>
        <w:t>物理机械性能试验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_Toc8495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6DD8AF52">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_Toc4461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lang w:val="en-US" w:eastAsia="zh-CN"/>
        </w:rPr>
        <w:t>电气绝缘性试验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_Toc4461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0474C45">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_Toc23511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lang w:val="en-US" w:eastAsia="zh-CN"/>
        </w:rPr>
        <w:t>燃烧性试验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_Toc23511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04312FB5">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_Toc21849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r>
        <w:rPr>
          <w:rFonts w:hint="eastAsia" w:ascii="宋体" w:hAnsi="宋体" w:eastAsia="宋体" w:cs="宋体"/>
          <w:lang w:val="en-US" w:eastAsia="zh-CN"/>
        </w:rPr>
        <w:t>反光警示膜性能试验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_Toc21849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3FCC5386">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_Toc8191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6.7 </w:t>
      </w:r>
      <w:r>
        <w:rPr>
          <w:rFonts w:hint="eastAsia" w:ascii="宋体" w:hAnsi="宋体" w:eastAsia="宋体" w:cs="宋体"/>
          <w:lang w:val="en-US" w:eastAsia="zh-CN"/>
        </w:rPr>
        <w:t>环境</w:t>
      </w:r>
      <w:r>
        <w:rPr>
          <w:rFonts w:hint="eastAsia" w:hAnsi="宋体" w:cs="宋体"/>
          <w:lang w:val="en-US" w:eastAsia="zh-CN"/>
        </w:rPr>
        <w:t>适应</w:t>
      </w:r>
      <w:r>
        <w:rPr>
          <w:rFonts w:hint="eastAsia" w:ascii="宋体" w:hAnsi="宋体" w:eastAsia="宋体" w:cs="宋体"/>
          <w:lang w:val="en-US" w:eastAsia="zh-CN"/>
        </w:rPr>
        <w:t>性试验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_Toc8191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22D44484">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_Toc5691 </w:instrText>
      </w:r>
      <w:r>
        <w:rPr>
          <w:rFonts w:hint="eastAsia" w:ascii="宋体" w:hAnsi="宋体" w:eastAsia="宋体" w:cs="宋体"/>
          <w:szCs w:val="21"/>
        </w:rPr>
        <w:fldChar w:fldCharType="separate"/>
      </w:r>
      <w:r>
        <w:rPr>
          <w:rFonts w:hint="eastAsia" w:ascii="宋体" w:hAnsi="宋体" w:eastAsia="宋体" w:cs="宋体"/>
          <w:i w:val="0"/>
        </w:rPr>
        <w:t xml:space="preserve">7 </w:t>
      </w:r>
      <w:r>
        <w:rPr>
          <w:rFonts w:hint="eastAsia" w:ascii="宋体" w:hAnsi="宋体" w:eastAsia="宋体" w:cs="宋体"/>
        </w:rPr>
        <w:t>检验规则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_Toc5691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23AC8A36">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_Toc32237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lang w:val="en-US" w:eastAsia="zh-CN"/>
        </w:rPr>
        <w:t>检验分类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_Toc32237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31E43531">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_Toc16600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lang w:val="en-US" w:eastAsia="zh-CN"/>
        </w:rPr>
        <w:t>出厂检验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_Toc16600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4B45E7F5">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_Toc16001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lang w:val="en-US" w:eastAsia="zh-CN"/>
        </w:rPr>
        <w:t>型式检验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_Toc16001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4ECA6E94">
      <w:pPr>
        <w:pStyle w:val="20"/>
        <w:tabs>
          <w:tab w:val="right" w:leader="dot" w:pos="8643"/>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_Toc5372 </w:instrText>
      </w:r>
      <w:r>
        <w:rPr>
          <w:rFonts w:hint="eastAsia" w:ascii="宋体" w:hAnsi="宋体" w:eastAsia="宋体" w:cs="宋体"/>
          <w:szCs w:val="21"/>
        </w:rPr>
        <w:fldChar w:fldCharType="separate"/>
      </w:r>
      <w:r>
        <w:rPr>
          <w:rFonts w:hint="eastAsia" w:ascii="宋体" w:hAnsi="宋体" w:eastAsia="宋体" w:cs="宋体"/>
          <w:i w:val="0"/>
        </w:rPr>
        <w:t xml:space="preserve">8 </w:t>
      </w:r>
      <w:r>
        <w:rPr>
          <w:rFonts w:hint="eastAsia" w:ascii="宋体" w:hAnsi="宋体" w:eastAsia="宋体" w:cs="宋体"/>
        </w:rPr>
        <w:t>标志、包装、运输</w:t>
      </w:r>
      <w:r>
        <w:rPr>
          <w:rFonts w:hint="eastAsia" w:ascii="宋体" w:hAnsi="宋体" w:eastAsia="宋体" w:cs="宋体"/>
          <w:lang w:val="en-US" w:eastAsia="zh-CN"/>
        </w:rPr>
        <w:t>与</w:t>
      </w:r>
      <w:r>
        <w:rPr>
          <w:rFonts w:hint="eastAsia" w:ascii="宋体" w:hAnsi="宋体" w:eastAsia="宋体" w:cs="宋体"/>
        </w:rPr>
        <w:t>贮存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_Toc5372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4D84D8C7">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_Toc31513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宋体" w:hAnsi="宋体" w:eastAsia="宋体" w:cs="宋体"/>
          <w:lang w:val="en-US" w:eastAsia="zh-CN"/>
        </w:rPr>
        <w:t>标志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_Toc31513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70E4F193">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_Toc17473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宋体" w:hAnsi="宋体" w:eastAsia="宋体" w:cs="宋体"/>
          <w:lang w:val="en-US" w:eastAsia="zh-CN"/>
        </w:rPr>
        <w:t>包装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_Toc17473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321165CE">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_Toc3517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eastAsia" w:ascii="宋体" w:hAnsi="宋体" w:eastAsia="宋体" w:cs="宋体"/>
          <w:lang w:val="en-US" w:eastAsia="zh-CN"/>
        </w:rPr>
        <w:t>运输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_Toc3517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42306F07">
      <w:pPr>
        <w:pStyle w:val="26"/>
        <w:tabs>
          <w:tab w:val="right" w:leader="dot" w:pos="8643"/>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_Toc15392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eastAsia" w:ascii="宋体" w:hAnsi="宋体" w:eastAsia="宋体" w:cs="宋体"/>
          <w:lang w:val="en-US" w:eastAsia="zh-CN"/>
        </w:rPr>
        <w:t>贮存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_Toc15392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05A0A5F0">
      <w:pPr>
        <w:pStyle w:val="20"/>
        <w:tabs>
          <w:tab w:val="right" w:leader="dot" w:pos="9354"/>
        </w:tabs>
        <w:rPr>
          <w:rFonts w:hint="eastAsia" w:ascii="宋体" w:hAnsi="宋体" w:eastAsia="宋体" w:cs="宋体"/>
          <w:sz w:val="21"/>
          <w:szCs w:val="21"/>
        </w:rPr>
        <w:sectPr>
          <w:headerReference r:id="rId9" w:type="default"/>
          <w:footerReference r:id="rId10" w:type="default"/>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r>
        <w:rPr>
          <w:rFonts w:hint="eastAsia" w:ascii="宋体" w:hAnsi="宋体" w:eastAsia="宋体" w:cs="宋体"/>
          <w:szCs w:val="21"/>
        </w:rPr>
        <w:fldChar w:fldCharType="end"/>
      </w:r>
      <w:bookmarkEnd w:id="0"/>
    </w:p>
    <w:p w14:paraId="007CC179">
      <w:pPr>
        <w:pStyle w:val="94"/>
        <w:keepNext w:val="0"/>
        <w:keepLines w:val="0"/>
        <w:pageBreakBefore w:val="0"/>
        <w:widowControl/>
        <w:kinsoku/>
        <w:wordWrap/>
        <w:overflowPunct/>
        <w:topLinePunct w:val="0"/>
        <w:autoSpaceDE/>
        <w:autoSpaceDN/>
        <w:bidi w:val="0"/>
        <w:adjustRightInd/>
        <w:snapToGrid/>
        <w:spacing w:before="850" w:after="680" w:afterLines="0"/>
        <w:ind w:left="425" w:hanging="425"/>
        <w:textAlignment w:val="auto"/>
      </w:pPr>
      <w:bookmarkStart w:id="1" w:name="_Toc2185"/>
      <w:bookmarkStart w:id="2" w:name="_Toc21249"/>
      <w:bookmarkStart w:id="3" w:name="_Toc3290"/>
      <w:bookmarkStart w:id="4" w:name="_Toc14855"/>
      <w:bookmarkStart w:id="5" w:name="_Toc3964"/>
      <w:r>
        <w:rPr>
          <w:rFonts w:hint="eastAsia"/>
          <w:lang w:eastAsia="zh-CN"/>
        </w:rPr>
        <w:t>前</w:t>
      </w:r>
      <w:r>
        <w:t>言</w:t>
      </w:r>
      <w:bookmarkEnd w:id="1"/>
      <w:bookmarkEnd w:id="2"/>
      <w:bookmarkEnd w:id="3"/>
      <w:bookmarkEnd w:id="4"/>
      <w:bookmarkEnd w:id="5"/>
    </w:p>
    <w:p w14:paraId="5BFAA5FE">
      <w:pPr>
        <w:pStyle w:val="61"/>
        <w:ind w:firstLine="420"/>
        <w:rPr>
          <w:rFonts w:hint="eastAsia"/>
        </w:rPr>
      </w:pPr>
      <w:r>
        <w:rPr>
          <w:rFonts w:hint="eastAsia"/>
        </w:rPr>
        <w:t>本文件按照GB/T 1.1—2020《标准化工作导则</w:t>
      </w:r>
      <w:r>
        <w:rPr>
          <w:rFonts w:hint="eastAsia"/>
          <w:lang w:val="en-US" w:eastAsia="zh-CN"/>
        </w:rPr>
        <w:t xml:space="preserve"> </w:t>
      </w:r>
      <w:r>
        <w:rPr>
          <w:rFonts w:hint="eastAsia"/>
        </w:rPr>
        <w:t xml:space="preserve"> 第1部分：标准化文件的结构和起草规则》的规定起草。</w:t>
      </w:r>
    </w:p>
    <w:p w14:paraId="6102A09B">
      <w:pPr>
        <w:pStyle w:val="61"/>
        <w:ind w:firstLine="420"/>
        <w:rPr>
          <w:rFonts w:hint="eastAsia"/>
        </w:rPr>
      </w:pPr>
      <w:r>
        <w:rPr>
          <w:rFonts w:hint="eastAsia"/>
        </w:rPr>
        <w:t>请注意本文件的某些内容可能涉及专利。本文件的发布机构不承担识别专利的责任。</w:t>
      </w:r>
    </w:p>
    <w:p w14:paraId="54334D74">
      <w:pPr>
        <w:pStyle w:val="61"/>
        <w:ind w:firstLine="420"/>
        <w:rPr>
          <w:rFonts w:hint="eastAsia"/>
        </w:rPr>
      </w:pPr>
      <w:r>
        <w:rPr>
          <w:rFonts w:hint="eastAsia"/>
        </w:rPr>
        <w:t>本文件由</w:t>
      </w:r>
      <w:r>
        <w:rPr>
          <w:rFonts w:hint="eastAsia"/>
          <w:lang w:eastAsia="zh-CN"/>
        </w:rPr>
        <w:t>中国西部开发促进会</w:t>
      </w:r>
      <w:r>
        <w:rPr>
          <w:rFonts w:hint="eastAsia"/>
        </w:rPr>
        <w:t>提出</w:t>
      </w:r>
      <w:r>
        <w:rPr>
          <w:rFonts w:hint="eastAsia"/>
          <w:lang w:val="en-US" w:eastAsia="zh-CN"/>
        </w:rPr>
        <w:t>并</w:t>
      </w:r>
      <w:r>
        <w:rPr>
          <w:rFonts w:hint="eastAsia"/>
        </w:rPr>
        <w:t>归口。</w:t>
      </w:r>
    </w:p>
    <w:p w14:paraId="38B0E61C">
      <w:pPr>
        <w:pStyle w:val="61"/>
        <w:ind w:firstLine="420"/>
        <w:rPr>
          <w:rFonts w:hint="eastAsia"/>
          <w:lang w:eastAsia="zh-CN"/>
        </w:rPr>
      </w:pPr>
      <w:r>
        <w:rPr>
          <w:rFonts w:hint="eastAsia"/>
          <w:lang w:eastAsia="zh-CN"/>
        </w:rPr>
        <w:t>本文件起草单位：。</w:t>
      </w:r>
    </w:p>
    <w:p w14:paraId="493490CB">
      <w:pPr>
        <w:pStyle w:val="61"/>
        <w:ind w:firstLine="420"/>
        <w:rPr>
          <w:rFonts w:hint="eastAsia" w:eastAsia="宋体"/>
          <w:lang w:val="en-US" w:eastAsia="zh-CN"/>
        </w:rPr>
      </w:pPr>
      <w:r>
        <w:rPr>
          <w:rFonts w:hint="eastAsia"/>
        </w:rPr>
        <w:t>本文件</w:t>
      </w:r>
      <w:r>
        <w:rPr>
          <w:rFonts w:hint="eastAsia"/>
          <w:lang w:val="en-US" w:eastAsia="zh-CN"/>
        </w:rPr>
        <w:t>主要</w:t>
      </w:r>
      <w:r>
        <w:rPr>
          <w:rFonts w:hint="eastAsia"/>
        </w:rPr>
        <w:t>起草人：</w:t>
      </w:r>
      <w:r>
        <w:rPr>
          <w:rFonts w:hint="eastAsia"/>
          <w:lang w:eastAsia="zh-CN"/>
        </w:rPr>
        <w:t>。</w:t>
      </w:r>
    </w:p>
    <w:p w14:paraId="35EFC096">
      <w:pPr>
        <w:pStyle w:val="61"/>
        <w:rPr>
          <w:rFonts w:hint="default" w:eastAsia="宋体"/>
          <w:lang w:val="en-US" w:eastAsia="zh-CN"/>
        </w:rPr>
      </w:pPr>
      <w:r>
        <w:rPr>
          <w:rFonts w:hint="eastAsia"/>
        </w:rPr>
        <w:t>本文件</w:t>
      </w:r>
      <w:r>
        <w:rPr>
          <w:rFonts w:hint="eastAsia"/>
          <w:lang w:val="en-US" w:eastAsia="zh-CN"/>
        </w:rPr>
        <w:t>为首次发布。</w:t>
      </w:r>
    </w:p>
    <w:p w14:paraId="55A8E81B">
      <w:pPr>
        <w:spacing w:line="360" w:lineRule="auto"/>
        <w:jc w:val="both"/>
        <w:rPr>
          <w:rFonts w:hint="eastAsia" w:ascii="黑体" w:hAnsi="黑体" w:eastAsia="黑体" w:cs="黑体"/>
          <w:sz w:val="52"/>
          <w:szCs w:val="52"/>
        </w:rPr>
        <w:sectPr>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p>
    <w:p w14:paraId="27EED881">
      <w:pPr>
        <w:spacing w:line="20" w:lineRule="exact"/>
        <w:jc w:val="center"/>
        <w:rPr>
          <w:rFonts w:ascii="黑体" w:hAnsi="黑体" w:eastAsia="黑体"/>
          <w:sz w:val="32"/>
          <w:szCs w:val="32"/>
        </w:rPr>
      </w:pPr>
      <w:bookmarkStart w:id="6" w:name="BookMark4"/>
    </w:p>
    <w:p w14:paraId="10F49A4E">
      <w:pPr>
        <w:spacing w:line="20" w:lineRule="exact"/>
        <w:jc w:val="center"/>
        <w:rPr>
          <w:rFonts w:ascii="黑体" w:hAnsi="黑体" w:eastAsia="黑体"/>
          <w:sz w:val="32"/>
          <w:szCs w:val="32"/>
        </w:rPr>
      </w:pPr>
    </w:p>
    <w:p w14:paraId="12D05E78">
      <w:pPr>
        <w:pStyle w:val="182"/>
      </w:pPr>
      <w:sdt>
        <w:sdtPr>
          <w:rPr>
            <w:rFonts w:hint="eastAsia" w:ascii="黑体" w:hAnsi="Times New Roman" w:eastAsia="黑体" w:cs="Times New Roman"/>
            <w:kern w:val="0"/>
            <w:sz w:val="32"/>
            <w:szCs w:val="20"/>
            <w:highlight w:val="none"/>
            <w:lang w:val="en-US" w:eastAsia="zh-CN" w:bidi="ar-SA"/>
          </w:rPr>
          <w:tag w:val="mainTextTitle"/>
          <w:id w:val="147453193"/>
          <w:placeholder>
            <w:docPart w:val="{ee073880-b451-4ff0-9253-5135824a1eff}"/>
          </w:placeholder>
        </w:sdtPr>
        <w:sdtEndPr>
          <w:rPr>
            <w:rFonts w:hint="eastAsia" w:ascii="黑体" w:hAnsi="宋体" w:eastAsia="黑体" w:cs="Times New Roman"/>
            <w:kern w:val="0"/>
            <w:sz w:val="32"/>
            <w:szCs w:val="20"/>
            <w:highlight w:val="none"/>
            <w:lang w:val="en-US" w:eastAsia="zh-CN" w:bidi="ar"/>
          </w:rPr>
        </w:sdtEndPr>
        <w:sdtContent>
          <w:bookmarkStart w:id="7" w:name="NEW_STAND_NAME"/>
          <w:r>
            <w:rPr>
              <w:rFonts w:hint="eastAsia" w:ascii="黑体" w:hAnsi="Times New Roman" w:eastAsia="黑体" w:cs="Times New Roman"/>
              <w:kern w:val="0"/>
              <w:sz w:val="32"/>
              <w:szCs w:val="20"/>
              <w:highlight w:val="none"/>
              <w:lang w:val="en-US" w:eastAsia="zh-CN" w:bidi="ar-SA"/>
            </w:rPr>
            <w:t>电力拉线保护套</w:t>
          </w:r>
        </w:sdtContent>
      </w:sdt>
      <w:bookmarkEnd w:id="7"/>
    </w:p>
    <w:p w14:paraId="5EC4DF4C">
      <w:pPr>
        <w:pStyle w:val="109"/>
        <w:spacing w:before="240" w:after="240"/>
      </w:pPr>
      <w:bookmarkStart w:id="8" w:name="_Toc26986530"/>
      <w:bookmarkStart w:id="9" w:name="_Toc17233325"/>
      <w:bookmarkStart w:id="10" w:name="_Toc17233333"/>
      <w:bookmarkStart w:id="11" w:name="_Toc26648465"/>
      <w:bookmarkStart w:id="12" w:name="_Toc26718930"/>
      <w:bookmarkStart w:id="13" w:name="_Toc26986771"/>
      <w:bookmarkStart w:id="14" w:name="_Toc97195091"/>
      <w:bookmarkStart w:id="15" w:name="_Toc19578"/>
      <w:bookmarkStart w:id="16" w:name="_Toc24884211"/>
      <w:bookmarkStart w:id="17" w:name="_Toc5902"/>
      <w:bookmarkStart w:id="18" w:name="_Toc24884218"/>
      <w:bookmarkStart w:id="19" w:name="_Toc12505"/>
      <w:bookmarkStart w:id="20" w:name="_Toc12617"/>
      <w:r>
        <w:rPr>
          <w:rFonts w:hint="eastAsia"/>
        </w:rPr>
        <w:t>范围</w:t>
      </w:r>
      <w:bookmarkEnd w:id="8"/>
      <w:bookmarkEnd w:id="9"/>
      <w:bookmarkEnd w:id="10"/>
      <w:bookmarkEnd w:id="11"/>
      <w:bookmarkEnd w:id="12"/>
      <w:bookmarkEnd w:id="13"/>
      <w:bookmarkEnd w:id="14"/>
      <w:bookmarkEnd w:id="15"/>
      <w:bookmarkEnd w:id="16"/>
      <w:bookmarkEnd w:id="17"/>
      <w:bookmarkEnd w:id="18"/>
      <w:bookmarkEnd w:id="19"/>
      <w:bookmarkEnd w:id="20"/>
    </w:p>
    <w:p w14:paraId="127F4C25">
      <w:pPr>
        <w:pStyle w:val="61"/>
        <w:rPr>
          <w:rFonts w:hint="eastAsia" w:ascii="宋体" w:hAnsi="宋体" w:eastAsia="宋体" w:cs="宋体"/>
          <w:lang w:val="en-US" w:eastAsia="zh-CN"/>
        </w:rPr>
      </w:pPr>
      <w:bookmarkStart w:id="21" w:name="_Toc17233326"/>
      <w:bookmarkStart w:id="22" w:name="_Toc17233334"/>
      <w:bookmarkStart w:id="23" w:name="_Toc24884219"/>
      <w:bookmarkStart w:id="24" w:name="_Toc24884212"/>
      <w:bookmarkStart w:id="25" w:name="_Toc26648466"/>
      <w:r>
        <w:rPr>
          <w:rFonts w:hint="eastAsia" w:ascii="宋体" w:hAnsi="宋体" w:eastAsia="宋体" w:cs="宋体"/>
          <w:lang w:val="en-US" w:eastAsia="zh-CN"/>
        </w:rPr>
        <w:t>本文件规定了电力拉线保护套</w:t>
      </w:r>
      <w:r>
        <w:rPr>
          <w:rFonts w:hint="eastAsia"/>
          <w:lang w:eastAsia="zh-CN"/>
        </w:rPr>
        <w:t>（</w:t>
      </w:r>
      <w:r>
        <w:rPr>
          <w:rFonts w:hint="eastAsia"/>
          <w:lang w:val="en-US" w:eastAsia="zh-CN"/>
        </w:rPr>
        <w:t>以下</w:t>
      </w:r>
      <w:r>
        <w:rPr>
          <w:rFonts w:hint="eastAsia"/>
          <w:color w:val="auto"/>
          <w:lang w:val="en-US" w:eastAsia="zh-CN"/>
        </w:rPr>
        <w:t>简称“保护套”</w:t>
      </w:r>
      <w:r>
        <w:rPr>
          <w:rFonts w:hint="eastAsia"/>
          <w:lang w:eastAsia="zh-CN"/>
        </w:rPr>
        <w:t>）</w:t>
      </w:r>
      <w:r>
        <w:rPr>
          <w:rFonts w:hint="eastAsia" w:ascii="宋体" w:hAnsi="宋体" w:eastAsia="宋体" w:cs="宋体"/>
          <w:lang w:val="en-US" w:eastAsia="zh-CN"/>
        </w:rPr>
        <w:t>的分类</w:t>
      </w:r>
      <w:r>
        <w:rPr>
          <w:rFonts w:hint="eastAsia" w:hAnsi="宋体" w:cs="宋体"/>
          <w:lang w:val="en-US" w:eastAsia="zh-CN"/>
        </w:rPr>
        <w:t>与规格、</w:t>
      </w:r>
      <w:r>
        <w:rPr>
          <w:rFonts w:hint="eastAsia" w:ascii="宋体" w:hAnsi="宋体" w:eastAsia="宋体" w:cs="宋体"/>
          <w:lang w:val="en-US" w:eastAsia="zh-CN"/>
        </w:rPr>
        <w:t>技术要求、试验方法、检验规则、标志、包装、运输</w:t>
      </w:r>
      <w:r>
        <w:rPr>
          <w:rFonts w:hint="eastAsia" w:hAnsi="宋体" w:cs="宋体"/>
          <w:lang w:val="en-US" w:eastAsia="zh-CN"/>
        </w:rPr>
        <w:t>与</w:t>
      </w:r>
      <w:r>
        <w:rPr>
          <w:rFonts w:hint="eastAsia" w:ascii="宋体" w:hAnsi="宋体" w:eastAsia="宋体" w:cs="宋体"/>
          <w:lang w:val="en-US" w:eastAsia="zh-CN"/>
        </w:rPr>
        <w:t>贮存。</w:t>
      </w:r>
    </w:p>
    <w:p w14:paraId="3854AD99">
      <w:pPr>
        <w:pStyle w:val="61"/>
        <w:rPr>
          <w:rFonts w:hint="eastAsia" w:ascii="宋体" w:hAnsi="宋体" w:eastAsia="宋体" w:cs="宋体"/>
          <w:lang w:eastAsia="zh-CN"/>
        </w:rPr>
      </w:pPr>
      <w:r>
        <w:rPr>
          <w:rFonts w:hint="eastAsia" w:ascii="宋体" w:hAnsi="宋体" w:eastAsia="宋体" w:cs="宋体"/>
          <w:lang w:val="en-US" w:eastAsia="zh-CN"/>
        </w:rPr>
        <w:t>本文件适用于额定电压35kV及以下架空配电线路电杆拉线用保护套的制造、试验及验收。</w:t>
      </w:r>
    </w:p>
    <w:p w14:paraId="6E83A890">
      <w:pPr>
        <w:pStyle w:val="109"/>
        <w:spacing w:before="240" w:after="240"/>
      </w:pPr>
      <w:bookmarkStart w:id="26" w:name="_Toc26986772"/>
      <w:bookmarkStart w:id="27" w:name="_Toc8381"/>
      <w:bookmarkStart w:id="28" w:name="_Toc26718931"/>
      <w:bookmarkStart w:id="29" w:name="_Toc7490"/>
      <w:bookmarkStart w:id="30" w:name="_Toc16591"/>
      <w:bookmarkStart w:id="31" w:name="_Toc26986531"/>
      <w:bookmarkStart w:id="32" w:name="_Toc25654"/>
      <w:bookmarkStart w:id="33" w:name="_Toc97195092"/>
      <w:r>
        <w:rPr>
          <w:rFonts w:hint="eastAsia"/>
        </w:rPr>
        <w:t>规范性引用文件</w:t>
      </w:r>
      <w:bookmarkEnd w:id="21"/>
      <w:bookmarkEnd w:id="22"/>
      <w:bookmarkEnd w:id="23"/>
      <w:bookmarkEnd w:id="24"/>
      <w:bookmarkEnd w:id="25"/>
      <w:bookmarkEnd w:id="26"/>
      <w:bookmarkEnd w:id="27"/>
      <w:bookmarkEnd w:id="28"/>
      <w:bookmarkEnd w:id="29"/>
      <w:bookmarkEnd w:id="30"/>
      <w:bookmarkEnd w:id="31"/>
      <w:bookmarkEnd w:id="32"/>
      <w:bookmarkEnd w:id="33"/>
    </w:p>
    <w:sdt>
      <w:sdtPr>
        <w:rPr>
          <w:rFonts w:hint="eastAsia" w:ascii="宋体" w:hAnsi="宋体" w:eastAsia="宋体" w:cs="宋体"/>
        </w:r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EndPr>
        <w:rPr>
          <w:rFonts w:hint="eastAsia" w:ascii="宋体" w:hAnsi="宋体" w:eastAsia="宋体" w:cs="宋体"/>
        </w:rPr>
      </w:sdtEndPr>
      <w:sdtContent>
        <w:p w14:paraId="4BE68B35">
          <w:pPr>
            <w:pStyle w:val="61"/>
            <w:rPr>
              <w:rFonts w:hint="eastAsia" w:ascii="宋体" w:hAnsi="宋体" w:eastAsia="宋体" w:cs="宋体"/>
            </w:rPr>
          </w:pPr>
          <w:r>
            <w:rPr>
              <w:rFonts w:hint="eastAsia" w:ascii="宋体" w:hAnsi="宋体" w:eastAsia="宋体" w:cs="宋体"/>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6D27BEE">
      <w:pPr>
        <w:pStyle w:val="61"/>
        <w:rPr>
          <w:rFonts w:hint="eastAsia" w:ascii="宋体" w:hAnsi="宋体" w:eastAsia="宋体" w:cs="宋体"/>
          <w:lang w:val="en-US" w:eastAsia="zh-CN"/>
        </w:rPr>
      </w:pPr>
      <w:r>
        <w:rPr>
          <w:rFonts w:hint="eastAsia" w:ascii="宋体" w:hAnsi="宋体" w:eastAsia="宋体" w:cs="宋体"/>
        </w:rPr>
        <w:t>GB/T 191</w:t>
      </w:r>
      <w:r>
        <w:rPr>
          <w:rFonts w:hint="eastAsia" w:ascii="宋体" w:hAnsi="宋体" w:eastAsia="宋体" w:cs="宋体"/>
          <w:lang w:val="en-US" w:eastAsia="zh-CN"/>
        </w:rPr>
        <w:t xml:space="preserve">  包装储运图</w:t>
      </w:r>
      <w:r>
        <w:rPr>
          <w:rFonts w:hint="eastAsia" w:hAnsi="宋体" w:cs="宋体"/>
          <w:lang w:val="en-US" w:eastAsia="zh-CN"/>
        </w:rPr>
        <w:t>形符号</w:t>
      </w:r>
      <w:r>
        <w:rPr>
          <w:rFonts w:hint="eastAsia" w:ascii="宋体" w:hAnsi="宋体" w:eastAsia="宋体" w:cs="宋体"/>
          <w:lang w:val="en-US" w:eastAsia="zh-CN"/>
        </w:rPr>
        <w:t>标志</w:t>
      </w:r>
    </w:p>
    <w:p w14:paraId="691CC085">
      <w:pPr>
        <w:pStyle w:val="61"/>
        <w:rPr>
          <w:rFonts w:hint="eastAsia" w:ascii="宋体" w:hAnsi="宋体" w:eastAsia="宋体" w:cs="宋体"/>
        </w:rPr>
      </w:pPr>
      <w:r>
        <w:rPr>
          <w:rFonts w:hint="eastAsia" w:ascii="宋体" w:hAnsi="宋体" w:eastAsia="宋体" w:cs="宋体"/>
        </w:rPr>
        <w:t>GB/T 1408.1</w:t>
      </w:r>
      <w:r>
        <w:rPr>
          <w:rFonts w:hint="eastAsia" w:ascii="宋体" w:hAnsi="宋体" w:eastAsia="宋体" w:cs="宋体"/>
          <w:lang w:val="en-US" w:eastAsia="zh-CN"/>
        </w:rPr>
        <w:t xml:space="preserve">  </w:t>
      </w:r>
      <w:r>
        <w:rPr>
          <w:rFonts w:hint="eastAsia" w:ascii="宋体" w:hAnsi="宋体" w:eastAsia="宋体" w:cs="宋体"/>
        </w:rPr>
        <w:t>绝缘材料 电气强度试验方法 第1部分：工频下试验</w:t>
      </w:r>
    </w:p>
    <w:p w14:paraId="315C7DE0">
      <w:pPr>
        <w:pStyle w:val="61"/>
        <w:rPr>
          <w:rFonts w:hint="eastAsia" w:ascii="宋体" w:hAnsi="宋体" w:eastAsia="宋体" w:cs="宋体"/>
          <w:lang w:val="en-US" w:eastAsia="zh-CN"/>
        </w:rPr>
      </w:pPr>
      <w:r>
        <w:rPr>
          <w:rFonts w:hint="eastAsia" w:ascii="宋体" w:hAnsi="宋体" w:eastAsia="宋体" w:cs="宋体"/>
        </w:rPr>
        <w:t>GB/T 1634.3</w:t>
      </w:r>
      <w:r>
        <w:rPr>
          <w:rFonts w:hint="eastAsia" w:ascii="宋体" w:hAnsi="宋体" w:eastAsia="宋体" w:cs="宋体"/>
          <w:lang w:val="en-US" w:eastAsia="zh-CN"/>
        </w:rPr>
        <w:t xml:space="preserve">  </w:t>
      </w:r>
      <w:r>
        <w:rPr>
          <w:rFonts w:hint="eastAsia" w:ascii="宋体" w:hAnsi="宋体" w:eastAsia="宋体" w:cs="宋体"/>
        </w:rPr>
        <w:t>塑料 负荷变形温度的测定 第3部分:高强度热固性层压材料</w:t>
      </w:r>
    </w:p>
    <w:p w14:paraId="3D32CDE3">
      <w:pPr>
        <w:pStyle w:val="61"/>
        <w:rPr>
          <w:rFonts w:hint="eastAsia" w:ascii="宋体" w:hAnsi="宋体" w:eastAsia="宋体" w:cs="宋体"/>
        </w:rPr>
      </w:pPr>
      <w:r>
        <w:rPr>
          <w:rFonts w:hint="eastAsia" w:ascii="宋体" w:hAnsi="宋体" w:eastAsia="宋体" w:cs="宋体"/>
        </w:rPr>
        <w:t>GB/T 2408</w:t>
      </w:r>
      <w:r>
        <w:rPr>
          <w:rFonts w:hint="eastAsia" w:ascii="宋体" w:hAnsi="宋体" w:eastAsia="宋体" w:cs="宋体"/>
          <w:lang w:val="en-US" w:eastAsia="zh-CN"/>
        </w:rPr>
        <w:t xml:space="preserve">  </w:t>
      </w:r>
      <w:r>
        <w:rPr>
          <w:rFonts w:hint="eastAsia" w:ascii="宋体" w:hAnsi="宋体" w:eastAsia="宋体" w:cs="宋体"/>
        </w:rPr>
        <w:t>塑料 燃烧性能的测定 水平法和垂直法</w:t>
      </w:r>
    </w:p>
    <w:p w14:paraId="26460629">
      <w:pPr>
        <w:pStyle w:val="61"/>
        <w:rPr>
          <w:rFonts w:hint="eastAsia" w:ascii="宋体" w:hAnsi="宋体" w:eastAsia="宋体" w:cs="宋体"/>
        </w:rPr>
      </w:pPr>
      <w:r>
        <w:rPr>
          <w:rFonts w:hint="eastAsia" w:ascii="宋体" w:hAnsi="宋体" w:eastAsia="宋体" w:cs="宋体"/>
        </w:rPr>
        <w:t>GB/T 2423.2</w:t>
      </w:r>
      <w:r>
        <w:rPr>
          <w:rFonts w:hint="eastAsia" w:ascii="宋体" w:hAnsi="宋体" w:eastAsia="宋体" w:cs="宋体"/>
          <w:lang w:val="en-US" w:eastAsia="zh-CN"/>
        </w:rPr>
        <w:t xml:space="preserve">  </w:t>
      </w:r>
      <w:r>
        <w:rPr>
          <w:rFonts w:hint="eastAsia" w:ascii="宋体" w:hAnsi="宋体" w:eastAsia="宋体" w:cs="宋体"/>
        </w:rPr>
        <w:t>电工电子产品环境试验 第2部分：试验方法 试验B：高温</w:t>
      </w:r>
    </w:p>
    <w:p w14:paraId="7D7562D6">
      <w:pPr>
        <w:pStyle w:val="61"/>
        <w:rPr>
          <w:rFonts w:hint="default" w:ascii="宋体" w:hAnsi="宋体" w:eastAsia="宋体" w:cs="宋体"/>
          <w:lang w:val="en-US" w:eastAsia="zh-CN"/>
        </w:rPr>
      </w:pPr>
      <w:r>
        <w:rPr>
          <w:rFonts w:hint="eastAsia" w:ascii="宋体" w:hAnsi="宋体" w:eastAsia="宋体" w:cs="宋体"/>
        </w:rPr>
        <w:t>GB/T 2828.1</w:t>
      </w:r>
      <w:r>
        <w:rPr>
          <w:rFonts w:hint="eastAsia" w:ascii="宋体" w:hAnsi="宋体" w:eastAsia="宋体" w:cs="宋体"/>
          <w:lang w:val="en-US" w:eastAsia="zh-CN"/>
        </w:rPr>
        <w:t xml:space="preserve">  </w:t>
      </w:r>
      <w:r>
        <w:rPr>
          <w:rFonts w:hint="eastAsia" w:ascii="宋体" w:hAnsi="宋体" w:eastAsia="宋体" w:cs="宋体"/>
        </w:rPr>
        <w:t>计数抽样检验程序 第1部分：按接收质量限（AQL）检索的逐批检验抽样计划</w:t>
      </w:r>
    </w:p>
    <w:p w14:paraId="042308FF">
      <w:pPr>
        <w:pStyle w:val="61"/>
        <w:rPr>
          <w:rFonts w:hint="eastAsia" w:ascii="宋体" w:hAnsi="宋体" w:eastAsia="宋体" w:cs="宋体"/>
        </w:rPr>
      </w:pPr>
      <w:r>
        <w:rPr>
          <w:rFonts w:hint="eastAsia" w:ascii="宋体" w:hAnsi="宋体" w:eastAsia="宋体" w:cs="宋体"/>
        </w:rPr>
        <w:t>GB/T 6671</w:t>
      </w:r>
      <w:r>
        <w:rPr>
          <w:rFonts w:hint="eastAsia" w:ascii="宋体" w:hAnsi="宋体" w:eastAsia="宋体" w:cs="宋体"/>
          <w:lang w:val="en-US" w:eastAsia="zh-CN"/>
        </w:rPr>
        <w:t xml:space="preserve">  </w:t>
      </w:r>
      <w:r>
        <w:rPr>
          <w:rFonts w:hint="eastAsia" w:ascii="宋体" w:hAnsi="宋体" w:eastAsia="宋体" w:cs="宋体"/>
        </w:rPr>
        <w:t>热塑性塑料管材 纵向回缩率的测定</w:t>
      </w:r>
    </w:p>
    <w:p w14:paraId="59973429">
      <w:pPr>
        <w:pStyle w:val="61"/>
        <w:rPr>
          <w:rFonts w:hint="eastAsia" w:ascii="宋体" w:hAnsi="宋体" w:eastAsia="宋体" w:cs="宋体"/>
        </w:rPr>
      </w:pPr>
      <w:r>
        <w:rPr>
          <w:rFonts w:hint="eastAsia" w:ascii="宋体" w:hAnsi="宋体" w:eastAsia="宋体" w:cs="宋体"/>
        </w:rPr>
        <w:t>GB/T 8804.2</w:t>
      </w:r>
      <w:r>
        <w:rPr>
          <w:rFonts w:hint="eastAsia" w:ascii="宋体" w:hAnsi="宋体" w:eastAsia="宋体" w:cs="宋体"/>
          <w:lang w:val="en-US" w:eastAsia="zh-CN"/>
        </w:rPr>
        <w:t xml:space="preserve">  </w:t>
      </w:r>
      <w:r>
        <w:rPr>
          <w:rFonts w:hint="eastAsia" w:ascii="宋体" w:hAnsi="宋体" w:eastAsia="宋体" w:cs="宋体"/>
        </w:rPr>
        <w:t>热塑性塑料管材 拉伸性能测定 第2部分: 硬聚氯乙烯（PVC-U）、氯化聚氯乙烯（PVC-C）和高抗冲聚氯乙烯（PVC-HI）管材</w:t>
      </w:r>
    </w:p>
    <w:p w14:paraId="57E1243A">
      <w:pPr>
        <w:pStyle w:val="61"/>
        <w:rPr>
          <w:rFonts w:hint="default" w:ascii="宋体" w:hAnsi="宋体" w:eastAsia="宋体" w:cs="宋体"/>
          <w:lang w:val="en-US" w:eastAsia="zh-CN"/>
        </w:rPr>
      </w:pPr>
      <w:r>
        <w:rPr>
          <w:rFonts w:hint="eastAsia" w:ascii="宋体" w:hAnsi="宋体" w:eastAsia="宋体" w:cs="宋体"/>
          <w:i w:val="0"/>
          <w:iCs w:val="0"/>
          <w:caps w:val="0"/>
          <w:color w:val="0F1115"/>
          <w:spacing w:val="0"/>
          <w:sz w:val="21"/>
          <w:szCs w:val="21"/>
          <w:shd w:val="clear" w:fill="FFFFFF"/>
        </w:rPr>
        <w:t>GB/T 8806</w:t>
      </w:r>
      <w:r>
        <w:rPr>
          <w:rFonts w:hint="eastAsia" w:hAnsi="宋体" w:cs="宋体"/>
          <w:i w:val="0"/>
          <w:iCs w:val="0"/>
          <w:caps w:val="0"/>
          <w:color w:val="0F1115"/>
          <w:spacing w:val="0"/>
          <w:sz w:val="21"/>
          <w:szCs w:val="21"/>
          <w:shd w:val="clear" w:fill="FFFFFF"/>
          <w:lang w:val="en-US" w:eastAsia="zh-CN"/>
        </w:rPr>
        <w:t xml:space="preserve">  塑料管道系统 塑料部件尺寸的测定</w:t>
      </w:r>
    </w:p>
    <w:p w14:paraId="60C59DC8">
      <w:pPr>
        <w:pStyle w:val="61"/>
        <w:rPr>
          <w:rFonts w:hint="eastAsia" w:ascii="宋体" w:hAnsi="宋体" w:eastAsia="宋体" w:cs="宋体"/>
        </w:rPr>
      </w:pPr>
      <w:r>
        <w:rPr>
          <w:rFonts w:hint="eastAsia" w:ascii="宋体" w:hAnsi="宋体" w:eastAsia="宋体" w:cs="宋体"/>
        </w:rPr>
        <w:t>GB/T 14152</w:t>
      </w:r>
      <w:r>
        <w:rPr>
          <w:rFonts w:hint="eastAsia" w:ascii="宋体" w:hAnsi="宋体" w:eastAsia="宋体" w:cs="宋体"/>
          <w:lang w:val="en-US" w:eastAsia="zh-CN"/>
        </w:rPr>
        <w:t xml:space="preserve">  </w:t>
      </w:r>
      <w:r>
        <w:rPr>
          <w:rFonts w:hint="eastAsia" w:ascii="宋体" w:hAnsi="宋体" w:eastAsia="宋体" w:cs="宋体"/>
        </w:rPr>
        <w:t>热塑性塑料管材耐外冲击性能试验方法 时针旋转法</w:t>
      </w:r>
    </w:p>
    <w:p w14:paraId="1014368A">
      <w:pPr>
        <w:pStyle w:val="61"/>
        <w:rPr>
          <w:rFonts w:hint="eastAsia"/>
          <w:lang w:val="en-US" w:eastAsia="zh-CN"/>
        </w:rPr>
      </w:pPr>
      <w:r>
        <w:rPr>
          <w:rFonts w:hint="eastAsia"/>
        </w:rPr>
        <w:t>GB/T 16422.2</w:t>
      </w:r>
      <w:r>
        <w:rPr>
          <w:rFonts w:hint="eastAsia"/>
          <w:lang w:val="en-US" w:eastAsia="zh-CN"/>
        </w:rPr>
        <w:t xml:space="preserve">  塑料 实验室光源暴露试验方法 第2部分：氙弧灯</w:t>
      </w:r>
    </w:p>
    <w:p w14:paraId="424210D0">
      <w:pPr>
        <w:pStyle w:val="61"/>
        <w:rPr>
          <w:rFonts w:hint="default" w:ascii="宋体" w:hAnsi="宋体" w:eastAsia="宋体" w:cs="宋体"/>
          <w:lang w:val="en-US" w:eastAsia="zh-CN"/>
        </w:rPr>
      </w:pPr>
      <w:r>
        <w:rPr>
          <w:rFonts w:hint="eastAsia" w:ascii="宋体" w:hAnsi="宋体" w:eastAsia="宋体" w:cs="宋体"/>
        </w:rPr>
        <w:t>GB/T 23711.2</w:t>
      </w:r>
      <w:r>
        <w:rPr>
          <w:rFonts w:hint="eastAsia" w:ascii="宋体" w:hAnsi="宋体" w:eastAsia="宋体" w:cs="宋体"/>
          <w:lang w:val="en-US" w:eastAsia="zh-CN"/>
        </w:rPr>
        <w:t xml:space="preserve">  </w:t>
      </w:r>
      <w:r>
        <w:rPr>
          <w:rFonts w:hint="eastAsia" w:ascii="宋体" w:hAnsi="宋体" w:eastAsia="宋体" w:cs="宋体"/>
        </w:rPr>
        <w:t>塑料衬里压力容器试验方法 第2部分：耐低温试验</w:t>
      </w:r>
    </w:p>
    <w:p w14:paraId="6F8B0282">
      <w:pPr>
        <w:pStyle w:val="61"/>
        <w:rPr>
          <w:rFonts w:hint="default"/>
          <w:lang w:val="en-US" w:eastAsia="zh-CN"/>
        </w:rPr>
      </w:pPr>
      <w:r>
        <w:rPr>
          <w:rFonts w:hint="eastAsia" w:ascii="宋体" w:hAnsi="宋体" w:eastAsia="宋体" w:cs="宋体"/>
        </w:rPr>
        <w:t>GB/T 23711.3</w:t>
      </w:r>
      <w:r>
        <w:rPr>
          <w:rFonts w:hint="eastAsia" w:ascii="宋体" w:hAnsi="宋体" w:eastAsia="宋体" w:cs="宋体"/>
          <w:lang w:val="en-US" w:eastAsia="zh-CN"/>
        </w:rPr>
        <w:t xml:space="preserve">  </w:t>
      </w:r>
      <w:r>
        <w:rPr>
          <w:rFonts w:hint="eastAsia" w:ascii="宋体" w:hAnsi="宋体" w:eastAsia="宋体" w:cs="宋体"/>
        </w:rPr>
        <w:t>塑料衬里压力容器试验方法 第3部分：耐高温检验</w:t>
      </w:r>
    </w:p>
    <w:p w14:paraId="51E2C653">
      <w:pPr>
        <w:pStyle w:val="61"/>
        <w:rPr>
          <w:rFonts w:hint="default" w:ascii="宋体" w:hAnsi="宋体" w:eastAsia="宋体" w:cs="宋体"/>
          <w:lang w:val="en-US" w:eastAsia="zh-CN"/>
        </w:rPr>
      </w:pPr>
      <w:r>
        <w:rPr>
          <w:rFonts w:hint="eastAsia" w:ascii="宋体" w:hAnsi="宋体" w:eastAsia="宋体" w:cs="宋体"/>
          <w:i w:val="0"/>
          <w:iCs w:val="0"/>
          <w:caps w:val="0"/>
          <w:color w:val="0F1115"/>
          <w:spacing w:val="0"/>
          <w:sz w:val="21"/>
          <w:szCs w:val="21"/>
          <w:shd w:val="clear" w:fill="FFFFFF"/>
        </w:rPr>
        <w:t>GB/T 31838.2</w:t>
      </w:r>
      <w:r>
        <w:rPr>
          <w:rFonts w:hint="eastAsia" w:hAnsi="宋体" w:cs="宋体"/>
          <w:i w:val="0"/>
          <w:iCs w:val="0"/>
          <w:caps w:val="0"/>
          <w:color w:val="0F1115"/>
          <w:spacing w:val="0"/>
          <w:sz w:val="21"/>
          <w:szCs w:val="21"/>
          <w:shd w:val="clear" w:fill="FFFFFF"/>
          <w:lang w:val="en-US" w:eastAsia="zh-CN"/>
        </w:rPr>
        <w:t xml:space="preserve">  固体绝缘材料 介电和电阻特性 第2部分：电阻特性（DC方法） 体积电阻和体积电阻率</w:t>
      </w:r>
    </w:p>
    <w:p w14:paraId="7E0F02AA">
      <w:pPr>
        <w:pStyle w:val="109"/>
        <w:spacing w:before="240" w:after="240"/>
      </w:pPr>
      <w:bookmarkStart w:id="34" w:name="_Toc28865"/>
      <w:bookmarkStart w:id="35" w:name="_Toc11143"/>
      <w:bookmarkStart w:id="36" w:name="_Toc97195093"/>
      <w:bookmarkStart w:id="37" w:name="_Toc21736"/>
      <w:bookmarkStart w:id="38" w:name="_Toc4199"/>
      <w:r>
        <w:rPr>
          <w:rFonts w:hint="eastAsia"/>
          <w:szCs w:val="21"/>
        </w:rPr>
        <w:t>术语和定义</w:t>
      </w:r>
      <w:bookmarkEnd w:id="34"/>
      <w:bookmarkEnd w:id="35"/>
      <w:bookmarkEnd w:id="36"/>
      <w:bookmarkEnd w:id="37"/>
      <w:bookmarkEnd w:id="38"/>
    </w:p>
    <w:bookmarkEnd w:id="6"/>
    <w:p w14:paraId="3A3BF7ED">
      <w:pPr>
        <w:pStyle w:val="61"/>
      </w:pPr>
      <w:bookmarkStart w:id="39" w:name="_Toc26986532"/>
      <w:bookmarkEnd w:id="39"/>
      <w:sdt>
        <w:sdtPr>
          <w:rPr>
            <w:rFonts w:hint="eastAsia" w:ascii="宋体" w:hAnsi="Times New Roman" w:eastAsia="宋体" w:cs="Times New Roman"/>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ascii="宋体" w:hAnsi="Times New Roman" w:eastAsia="宋体" w:cs="Times New Roman"/>
          </w:rPr>
        </w:sdtEndPr>
        <w:sdtContent>
          <w:r>
            <w:rPr>
              <w:rFonts w:hint="eastAsia" w:ascii="宋体" w:hAnsi="Times New Roman" w:eastAsia="宋体" w:cs="Times New Roman"/>
              <w:sz w:val="21"/>
              <w:lang w:val="en-US" w:eastAsia="zh-CN" w:bidi="ar-SA"/>
            </w:rPr>
            <w:t>下列术语和定义适用于本文件。</w:t>
          </w:r>
        </w:sdtContent>
      </w:sdt>
    </w:p>
    <w:p w14:paraId="4B6D3D92">
      <w:pPr>
        <w:pStyle w:val="110"/>
        <w:spacing w:before="120" w:after="120"/>
      </w:pPr>
      <w:bookmarkStart w:id="40" w:name="_Toc5316"/>
      <w:bookmarkEnd w:id="40"/>
      <w:bookmarkStart w:id="41" w:name="_Toc18471"/>
      <w:bookmarkEnd w:id="41"/>
      <w:bookmarkStart w:id="42" w:name="_Toc21124"/>
      <w:bookmarkEnd w:id="42"/>
      <w:bookmarkStart w:id="43" w:name="_Toc13410"/>
      <w:bookmarkEnd w:id="43"/>
      <w:bookmarkStart w:id="44" w:name="_Toc14598"/>
      <w:bookmarkEnd w:id="44"/>
      <w:bookmarkStart w:id="45" w:name="_Toc25027"/>
      <w:bookmarkEnd w:id="45"/>
      <w:bookmarkStart w:id="46" w:name="_Toc545"/>
      <w:bookmarkEnd w:id="46"/>
      <w:bookmarkStart w:id="47" w:name="_Toc10799"/>
      <w:bookmarkEnd w:id="47"/>
      <w:bookmarkStart w:id="48" w:name="_Toc9949"/>
      <w:bookmarkEnd w:id="48"/>
      <w:bookmarkStart w:id="49" w:name="_Toc27659"/>
      <w:bookmarkEnd w:id="49"/>
      <w:bookmarkStart w:id="50" w:name="_Toc18481"/>
      <w:bookmarkEnd w:id="50"/>
      <w:bookmarkStart w:id="51" w:name="_Toc8825"/>
      <w:bookmarkEnd w:id="51"/>
      <w:bookmarkStart w:id="52" w:name="_Toc28395"/>
      <w:bookmarkEnd w:id="52"/>
      <w:bookmarkStart w:id="53" w:name="_Toc1908"/>
      <w:bookmarkEnd w:id="53"/>
      <w:bookmarkStart w:id="54" w:name="_Toc11047"/>
      <w:bookmarkEnd w:id="54"/>
      <w:bookmarkStart w:id="55" w:name="_Toc31639"/>
      <w:bookmarkEnd w:id="55"/>
      <w:bookmarkStart w:id="56" w:name="_Toc28488"/>
      <w:bookmarkEnd w:id="56"/>
    </w:p>
    <w:p w14:paraId="68AA6B7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黑体" w:cs="Times New Roman"/>
          <w:sz w:val="21"/>
          <w:lang w:val="en-US" w:eastAsia="zh-CN" w:bidi="ar-SA"/>
        </w:rPr>
      </w:pPr>
      <w:r>
        <w:rPr>
          <w:rFonts w:hint="eastAsia" w:ascii="Times New Roman" w:hAnsi="Times New Roman" w:eastAsia="黑体" w:cs="Times New Roman"/>
          <w:sz w:val="21"/>
          <w:lang w:val="en-US" w:eastAsia="zh-CN" w:bidi="ar-SA"/>
        </w:rPr>
        <w:t xml:space="preserve">电力拉线保护套 </w:t>
      </w:r>
      <w:bookmarkStart w:id="57" w:name="_Toc30783"/>
      <w:bookmarkEnd w:id="57"/>
      <w:bookmarkStart w:id="58" w:name="_Toc15874"/>
      <w:bookmarkEnd w:id="58"/>
      <w:bookmarkStart w:id="59" w:name="_Toc10025"/>
      <w:bookmarkEnd w:id="59"/>
      <w:bookmarkStart w:id="60" w:name="_Toc18262"/>
      <w:bookmarkEnd w:id="60"/>
      <w:bookmarkStart w:id="61" w:name="_Toc1854"/>
      <w:bookmarkEnd w:id="61"/>
      <w:bookmarkStart w:id="62" w:name="_Toc16545"/>
      <w:bookmarkEnd w:id="62"/>
      <w:bookmarkStart w:id="63" w:name="_Toc11308"/>
      <w:bookmarkEnd w:id="63"/>
      <w:bookmarkStart w:id="64" w:name="_Toc14826"/>
      <w:bookmarkEnd w:id="64"/>
      <w:bookmarkStart w:id="65" w:name="_Toc23660"/>
      <w:bookmarkEnd w:id="65"/>
      <w:bookmarkStart w:id="66" w:name="_Toc15067"/>
      <w:bookmarkEnd w:id="66"/>
      <w:bookmarkStart w:id="67" w:name="_Toc15835"/>
      <w:bookmarkEnd w:id="67"/>
      <w:bookmarkStart w:id="68" w:name="_Toc18321"/>
      <w:bookmarkEnd w:id="68"/>
      <w:r>
        <w:rPr>
          <w:rFonts w:hint="eastAsia" w:ascii="Times New Roman" w:hAnsi="Times New Roman" w:eastAsia="黑体" w:cs="Times New Roman"/>
          <w:sz w:val="21"/>
          <w:lang w:val="en-US" w:eastAsia="zh-CN" w:bidi="ar-SA"/>
        </w:rPr>
        <w:t>power stay wire protective sleeve</w:t>
      </w:r>
    </w:p>
    <w:p w14:paraId="5C236DB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套在电力线路电杆拉线外部，起绝缘防护、警示标识和物理保护作用的管状护套。</w:t>
      </w:r>
    </w:p>
    <w:p w14:paraId="70F1C3AB">
      <w:pPr>
        <w:pStyle w:val="110"/>
        <w:spacing w:before="120" w:after="120"/>
        <w:rPr>
          <w:rFonts w:hAnsi="Times New Roman" w:cs="Times New Roman"/>
        </w:rPr>
      </w:pPr>
      <w:bookmarkStart w:id="69" w:name="_Toc25142"/>
      <w:bookmarkEnd w:id="69"/>
      <w:bookmarkStart w:id="70" w:name="_Toc30774"/>
      <w:bookmarkEnd w:id="70"/>
      <w:bookmarkStart w:id="71" w:name="_Toc22270"/>
      <w:bookmarkEnd w:id="71"/>
      <w:bookmarkStart w:id="72" w:name="_Toc11279"/>
      <w:bookmarkEnd w:id="72"/>
      <w:bookmarkStart w:id="73" w:name="_Toc1221"/>
      <w:bookmarkEnd w:id="73"/>
      <w:bookmarkStart w:id="74" w:name="_Toc6326"/>
      <w:bookmarkEnd w:id="74"/>
      <w:bookmarkStart w:id="75" w:name="_Toc18088"/>
      <w:bookmarkEnd w:id="75"/>
      <w:bookmarkStart w:id="76" w:name="_Toc18758"/>
      <w:bookmarkEnd w:id="76"/>
    </w:p>
    <w:p w14:paraId="44C738E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黑体" w:cs="Times New Roman"/>
          <w:sz w:val="21"/>
          <w:lang w:val="en-US" w:eastAsia="zh-CN" w:bidi="ar-SA"/>
        </w:rPr>
      </w:pPr>
      <w:r>
        <w:rPr>
          <w:rFonts w:hint="eastAsia" w:ascii="Times New Roman" w:hAnsi="Times New Roman" w:eastAsia="黑体" w:cs="Times New Roman"/>
          <w:sz w:val="21"/>
          <w:lang w:val="en-US" w:eastAsia="zh-CN" w:bidi="ar-SA"/>
        </w:rPr>
        <w:t>反光警示膜 retroreflective warning sheeting</w:t>
      </w:r>
    </w:p>
    <w:p w14:paraId="4A2C6C4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附着于拉线保护套外表面，具有夜间反光警示功能的膜层材料。</w:t>
      </w:r>
    </w:p>
    <w:p w14:paraId="39D901DF">
      <w:pPr>
        <w:pStyle w:val="110"/>
        <w:spacing w:before="120" w:after="120"/>
        <w:rPr>
          <w:rFonts w:hAnsi="Times New Roman" w:cs="Times New Roman"/>
        </w:rPr>
      </w:pPr>
      <w:bookmarkStart w:id="77" w:name="_Toc23493"/>
      <w:bookmarkEnd w:id="77"/>
      <w:bookmarkStart w:id="78" w:name="_Toc13396"/>
      <w:bookmarkEnd w:id="78"/>
      <w:bookmarkStart w:id="79" w:name="_Toc9865"/>
      <w:bookmarkEnd w:id="79"/>
      <w:bookmarkStart w:id="80" w:name="_Toc20338"/>
      <w:bookmarkEnd w:id="80"/>
      <w:bookmarkStart w:id="81" w:name="_Toc13004"/>
      <w:bookmarkEnd w:id="81"/>
      <w:bookmarkStart w:id="82" w:name="_Toc16191"/>
      <w:bookmarkEnd w:id="82"/>
      <w:bookmarkStart w:id="83" w:name="_Toc18779"/>
      <w:bookmarkEnd w:id="83"/>
      <w:bookmarkStart w:id="84" w:name="_Toc8441"/>
      <w:bookmarkEnd w:id="84"/>
    </w:p>
    <w:p w14:paraId="40079AD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黑体" w:cs="Times New Roman"/>
          <w:sz w:val="21"/>
          <w:lang w:val="en-US" w:eastAsia="zh-CN" w:bidi="ar-SA"/>
        </w:rPr>
      </w:pPr>
      <w:r>
        <w:rPr>
          <w:rFonts w:hint="eastAsia" w:ascii="Times New Roman" w:hAnsi="Times New Roman" w:eastAsia="黑体" w:cs="Times New Roman"/>
          <w:sz w:val="21"/>
          <w:lang w:val="en-US" w:eastAsia="zh-CN" w:bidi="ar-SA"/>
        </w:rPr>
        <w:t>纵向开口 longitudinal opening</w:t>
      </w:r>
    </w:p>
    <w:p w14:paraId="72FFAEE3">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Ansi="Times New Roman" w:cs="Times New Roman"/>
        </w:rPr>
      </w:pPr>
      <w:r>
        <w:rPr>
          <w:rFonts w:hint="eastAsia" w:ascii="宋体" w:hAnsi="宋体" w:eastAsia="宋体" w:cs="宋体"/>
          <w:sz w:val="21"/>
          <w:lang w:val="en-US" w:eastAsia="zh-CN" w:bidi="ar-SA"/>
        </w:rPr>
        <w:t>拉线保护套管壁上沿轴向开设的缝隙，便于现场安装时套入拉线。</w:t>
      </w:r>
      <w:bookmarkStart w:id="85" w:name="_Toc23764"/>
      <w:bookmarkEnd w:id="85"/>
      <w:bookmarkStart w:id="86" w:name="_Toc19609"/>
      <w:bookmarkEnd w:id="86"/>
      <w:bookmarkStart w:id="87" w:name="_Toc15751"/>
      <w:bookmarkEnd w:id="87"/>
      <w:bookmarkStart w:id="88" w:name="_Toc6818"/>
      <w:bookmarkEnd w:id="88"/>
      <w:bookmarkStart w:id="89" w:name="_Toc17189"/>
      <w:bookmarkEnd w:id="89"/>
      <w:bookmarkStart w:id="90" w:name="_Toc25020"/>
      <w:bookmarkEnd w:id="90"/>
      <w:bookmarkStart w:id="91" w:name="_Toc15687"/>
      <w:bookmarkEnd w:id="91"/>
      <w:bookmarkStart w:id="92" w:name="_Toc5952"/>
      <w:bookmarkEnd w:id="92"/>
    </w:p>
    <w:p w14:paraId="5474F229">
      <w:pPr>
        <w:pStyle w:val="110"/>
        <w:spacing w:before="120" w:after="120"/>
        <w:rPr>
          <w:rFonts w:hint="eastAsia" w:hAnsi="Times New Roman" w:cs="Times New Roman"/>
          <w:lang w:val="en-US" w:eastAsia="zh-CN"/>
        </w:rPr>
      </w:pPr>
      <w:bookmarkStart w:id="93" w:name="_Toc18010"/>
      <w:bookmarkEnd w:id="93"/>
      <w:bookmarkStart w:id="94" w:name="_Toc28150"/>
      <w:bookmarkEnd w:id="94"/>
    </w:p>
    <w:p w14:paraId="4F03B00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黑体" w:cs="Times New Roman"/>
          <w:sz w:val="21"/>
          <w:lang w:val="en-US" w:eastAsia="zh-CN" w:bidi="ar-SA"/>
        </w:rPr>
      </w:pPr>
      <w:r>
        <w:rPr>
          <w:rFonts w:hint="eastAsia" w:ascii="Times New Roman" w:hAnsi="Times New Roman" w:eastAsia="黑体" w:cs="Times New Roman"/>
          <w:sz w:val="21"/>
          <w:lang w:val="en-US" w:eastAsia="zh-CN" w:bidi="ar-SA"/>
        </w:rPr>
        <w:t xml:space="preserve">粗管段 </w:t>
      </w:r>
      <w:r>
        <w:rPr>
          <w:rFonts w:hint="default" w:ascii="Times New Roman" w:hAnsi="Times New Roman" w:eastAsia="黑体" w:cs="Times New Roman"/>
          <w:sz w:val="21"/>
          <w:lang w:val="en-US" w:eastAsia="zh-CN" w:bidi="ar-SA"/>
        </w:rPr>
        <w:t>thick pipe section</w:t>
      </w:r>
    </w:p>
    <w:p w14:paraId="400ADBB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电力拉线保护套的上部主体段，外壁粘贴反光警示膜，用于提供主要的绝缘防护和警示功能。</w:t>
      </w:r>
    </w:p>
    <w:p w14:paraId="2F889DC1">
      <w:pPr>
        <w:pStyle w:val="110"/>
        <w:spacing w:before="120" w:after="120"/>
        <w:rPr>
          <w:rFonts w:hint="eastAsia" w:hAnsi="Times New Roman" w:cs="Times New Roman"/>
          <w:lang w:val="en-US" w:eastAsia="zh-CN"/>
        </w:rPr>
      </w:pPr>
      <w:bookmarkStart w:id="95" w:name="_Toc23210"/>
      <w:bookmarkEnd w:id="95"/>
      <w:bookmarkStart w:id="96" w:name="_Toc8620"/>
      <w:bookmarkEnd w:id="96"/>
    </w:p>
    <w:p w14:paraId="4F7A091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黑体" w:cs="Times New Roman"/>
          <w:sz w:val="21"/>
          <w:lang w:val="en-US" w:eastAsia="zh-CN" w:bidi="ar-SA"/>
        </w:rPr>
      </w:pPr>
      <w:r>
        <w:rPr>
          <w:rFonts w:hint="eastAsia" w:ascii="Times New Roman" w:hAnsi="Times New Roman" w:eastAsia="黑体" w:cs="Times New Roman"/>
          <w:sz w:val="21"/>
          <w:lang w:val="en-US" w:eastAsia="zh-CN" w:bidi="ar-SA"/>
        </w:rPr>
        <w:t xml:space="preserve">细管段 </w:t>
      </w:r>
      <w:r>
        <w:rPr>
          <w:rFonts w:hint="default" w:ascii="Times New Roman" w:hAnsi="Times New Roman" w:eastAsia="黑体" w:cs="Times New Roman"/>
          <w:sz w:val="21"/>
          <w:lang w:val="en-US" w:eastAsia="zh-CN" w:bidi="ar-SA"/>
        </w:rPr>
        <w:t>thin pipe section</w:t>
      </w:r>
    </w:p>
    <w:p w14:paraId="56CB038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电力拉线保护套的下部延伸段，起导向和固定作用，与粗管段平滑过渡连接。</w:t>
      </w:r>
    </w:p>
    <w:p w14:paraId="21C00BE5">
      <w:pPr>
        <w:pStyle w:val="109"/>
        <w:spacing w:before="240" w:after="240"/>
        <w:rPr>
          <w:rFonts w:hint="eastAsia"/>
          <w:szCs w:val="21"/>
        </w:rPr>
      </w:pPr>
      <w:bookmarkStart w:id="97" w:name="_Toc10683"/>
      <w:bookmarkEnd w:id="97"/>
      <w:bookmarkStart w:id="98" w:name="_Toc31975"/>
      <w:r>
        <w:rPr>
          <w:rFonts w:hint="eastAsia"/>
          <w:szCs w:val="21"/>
          <w:lang w:val="en-US" w:eastAsia="zh-CN"/>
        </w:rPr>
        <w:t>分类与规格</w:t>
      </w:r>
      <w:bookmarkEnd w:id="98"/>
    </w:p>
    <w:p w14:paraId="5F951294">
      <w:pPr>
        <w:pStyle w:val="110"/>
        <w:numPr>
          <w:ilvl w:val="2"/>
          <w:numId w:val="2"/>
        </w:numPr>
        <w:spacing w:before="120" w:after="120"/>
        <w:rPr>
          <w:rFonts w:hint="eastAsia" w:hAnsi="Times New Roman" w:cs="Times New Roman"/>
          <w:lang w:val="en-US" w:eastAsia="zh-CN"/>
        </w:rPr>
      </w:pPr>
      <w:bookmarkStart w:id="99" w:name="_Toc18834"/>
      <w:r>
        <w:rPr>
          <w:rFonts w:hint="eastAsia" w:cs="Times New Roman"/>
          <w:lang w:val="en-US" w:eastAsia="zh-CN"/>
        </w:rPr>
        <w:t>分类</w:t>
      </w:r>
      <w:bookmarkEnd w:id="99"/>
    </w:p>
    <w:p w14:paraId="01AE6BD1">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4.1.1 按主体材质分类</w:t>
      </w:r>
    </w:p>
    <w:p w14:paraId="734F627C">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保护套可分为PVC型（聚氯乙烯型）、改性PP型（改性聚丙烯型）、GFRP型（玻璃纤维增强塑料型）。</w:t>
      </w:r>
    </w:p>
    <w:p w14:paraId="4051C024">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4.1.2 按管材截面结构形式分类</w:t>
      </w:r>
    </w:p>
    <w:p w14:paraId="5846CF5B">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具体分类如下：</w:t>
      </w:r>
    </w:p>
    <w:p w14:paraId="7EA7BEC3">
      <w:pPr>
        <w:pStyle w:val="61"/>
        <w:numPr>
          <w:ilvl w:val="0"/>
          <w:numId w:val="32"/>
        </w:numPr>
        <w:rPr>
          <w:rFonts w:hint="eastAsia" w:hAnsi="宋体" w:cs="宋体"/>
          <w:szCs w:val="21"/>
        </w:rPr>
      </w:pPr>
      <w:r>
        <w:rPr>
          <w:rFonts w:hint="eastAsia" w:ascii="宋体" w:hAnsi="宋体" w:eastAsia="宋体" w:cs="宋体"/>
          <w:b w:val="0"/>
          <w:bCs w:val="0"/>
          <w:sz w:val="21"/>
          <w:szCs w:val="21"/>
          <w:lang w:val="en-US" w:eastAsia="zh-CN"/>
        </w:rPr>
        <w:t>C型开口式保护套</w:t>
      </w:r>
    </w:p>
    <w:p w14:paraId="714C907C">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pPr>
      <w:r>
        <w:drawing>
          <wp:inline distT="0" distB="0" distL="114300" distR="114300">
            <wp:extent cx="1092835" cy="167767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clrChange>
                        <a:clrFrom>
                          <a:srgbClr val="F9FAFB">
                            <a:alpha val="100000"/>
                          </a:srgbClr>
                        </a:clrFrom>
                        <a:clrTo>
                          <a:srgbClr val="F9FAFB">
                            <a:alpha val="100000"/>
                            <a:alpha val="0"/>
                          </a:srgbClr>
                        </a:clrTo>
                      </a:clrChange>
                    </a:blip>
                    <a:stretch>
                      <a:fillRect/>
                    </a:stretch>
                  </pic:blipFill>
                  <pic:spPr>
                    <a:xfrm>
                      <a:off x="0" y="0"/>
                      <a:ext cx="1092835" cy="1677670"/>
                    </a:xfrm>
                    <a:prstGeom prst="rect">
                      <a:avLst/>
                    </a:prstGeom>
                    <a:noFill/>
                    <a:ln>
                      <a:noFill/>
                    </a:ln>
                  </pic:spPr>
                </pic:pic>
              </a:graphicData>
            </a:graphic>
          </wp:inline>
        </w:drawing>
      </w:r>
    </w:p>
    <w:p w14:paraId="771F26FD">
      <w:pPr>
        <w:pStyle w:val="61"/>
        <w:numPr>
          <w:ilvl w:val="0"/>
          <w:numId w:val="32"/>
        </w:num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O型全封闭式保护套</w:t>
      </w:r>
    </w:p>
    <w:p w14:paraId="51CA4E3F">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drawing>
          <wp:inline distT="0" distB="0" distL="114300" distR="114300">
            <wp:extent cx="1263650" cy="168783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clrChange>
                        <a:clrFrom>
                          <a:srgbClr val="F9FAFB">
                            <a:alpha val="100000"/>
                          </a:srgbClr>
                        </a:clrFrom>
                        <a:clrTo>
                          <a:srgbClr val="F9FAFB">
                            <a:alpha val="100000"/>
                            <a:alpha val="0"/>
                          </a:srgbClr>
                        </a:clrTo>
                      </a:clrChange>
                    </a:blip>
                    <a:stretch>
                      <a:fillRect/>
                    </a:stretch>
                  </pic:blipFill>
                  <pic:spPr>
                    <a:xfrm>
                      <a:off x="0" y="0"/>
                      <a:ext cx="1263650" cy="1687830"/>
                    </a:xfrm>
                    <a:prstGeom prst="rect">
                      <a:avLst/>
                    </a:prstGeom>
                    <a:noFill/>
                    <a:ln>
                      <a:noFill/>
                    </a:ln>
                  </pic:spPr>
                </pic:pic>
              </a:graphicData>
            </a:graphic>
          </wp:inline>
        </w:drawing>
      </w:r>
    </w:p>
    <w:p w14:paraId="15FABD21">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4.1.3 按用途场景分类</w:t>
      </w:r>
    </w:p>
    <w:p w14:paraId="6A17AF38">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保护套可分为</w:t>
      </w:r>
      <w:r>
        <w:rPr>
          <w:rFonts w:hint="eastAsia" w:ascii="宋体" w:hAnsi="宋体" w:eastAsia="宋体" w:cs="宋体"/>
          <w:b w:val="0"/>
          <w:bCs w:val="0"/>
          <w:i w:val="0"/>
          <w:iCs w:val="0"/>
          <w:caps w:val="0"/>
          <w:color w:val="0F1115"/>
          <w:spacing w:val="0"/>
          <w:sz w:val="21"/>
          <w:szCs w:val="21"/>
          <w:shd w:val="clear" w:fill="FFFFFF"/>
        </w:rPr>
        <w:t>电力拉线警示保护套</w:t>
      </w:r>
      <w:r>
        <w:rPr>
          <w:rFonts w:hint="eastAsia" w:ascii="宋体" w:hAnsi="宋体" w:eastAsia="宋体" w:cs="宋体"/>
          <w:b w:val="0"/>
          <w:bCs w:val="0"/>
          <w:i w:val="0"/>
          <w:iCs w:val="0"/>
          <w:caps w:val="0"/>
          <w:color w:val="0F1115"/>
          <w:spacing w:val="0"/>
          <w:sz w:val="21"/>
          <w:szCs w:val="21"/>
          <w:shd w:val="clear" w:fill="FFFFFF"/>
          <w:lang w:eastAsia="zh-CN"/>
        </w:rPr>
        <w:t>、</w:t>
      </w:r>
      <w:r>
        <w:rPr>
          <w:rFonts w:hint="eastAsia" w:ascii="宋体" w:hAnsi="宋体" w:eastAsia="宋体" w:cs="宋体"/>
          <w:b w:val="0"/>
          <w:bCs w:val="0"/>
          <w:i w:val="0"/>
          <w:iCs w:val="0"/>
          <w:caps w:val="0"/>
          <w:color w:val="0F1115"/>
          <w:spacing w:val="0"/>
          <w:sz w:val="21"/>
          <w:szCs w:val="21"/>
          <w:shd w:val="clear" w:fill="FFFFFF"/>
        </w:rPr>
        <w:t>电信拉线保护套</w:t>
      </w:r>
      <w:r>
        <w:rPr>
          <w:rFonts w:hint="eastAsia" w:ascii="宋体" w:hAnsi="宋体" w:eastAsia="宋体" w:cs="宋体"/>
          <w:b w:val="0"/>
          <w:bCs w:val="0"/>
          <w:i w:val="0"/>
          <w:iCs w:val="0"/>
          <w:caps w:val="0"/>
          <w:color w:val="0F1115"/>
          <w:spacing w:val="0"/>
          <w:sz w:val="21"/>
          <w:szCs w:val="21"/>
          <w:shd w:val="clear" w:fill="FFFFFF"/>
          <w:lang w:eastAsia="zh-CN"/>
        </w:rPr>
        <w:t>、</w:t>
      </w:r>
      <w:r>
        <w:rPr>
          <w:rFonts w:hint="eastAsia" w:ascii="宋体" w:hAnsi="宋体" w:eastAsia="宋体" w:cs="宋体"/>
          <w:b w:val="0"/>
          <w:bCs w:val="0"/>
          <w:i w:val="0"/>
          <w:iCs w:val="0"/>
          <w:caps w:val="0"/>
          <w:color w:val="0F1115"/>
          <w:spacing w:val="0"/>
          <w:sz w:val="21"/>
          <w:szCs w:val="21"/>
          <w:shd w:val="clear" w:fill="FFFFFF"/>
        </w:rPr>
        <w:t>过道警示拉线保护套</w:t>
      </w:r>
      <w:r>
        <w:rPr>
          <w:rFonts w:hint="eastAsia" w:ascii="宋体" w:hAnsi="宋体" w:eastAsia="宋体" w:cs="宋体"/>
          <w:b w:val="0"/>
          <w:bCs w:val="0"/>
          <w:i w:val="0"/>
          <w:iCs w:val="0"/>
          <w:caps w:val="0"/>
          <w:color w:val="0F1115"/>
          <w:spacing w:val="0"/>
          <w:sz w:val="21"/>
          <w:szCs w:val="21"/>
          <w:shd w:val="clear" w:fill="FFFFFF"/>
          <w:lang w:eastAsia="zh-CN"/>
        </w:rPr>
        <w:t>。</w:t>
      </w:r>
    </w:p>
    <w:p w14:paraId="4600F7CE">
      <w:pPr>
        <w:pStyle w:val="110"/>
        <w:numPr>
          <w:ilvl w:val="2"/>
          <w:numId w:val="2"/>
        </w:numPr>
        <w:spacing w:before="120" w:after="120"/>
        <w:rPr>
          <w:rFonts w:hint="eastAsia" w:hAnsi="Times New Roman" w:cs="Times New Roman"/>
          <w:lang w:val="en-US" w:eastAsia="zh-CN"/>
        </w:rPr>
      </w:pPr>
      <w:bookmarkStart w:id="100" w:name="_Toc5799"/>
      <w:r>
        <w:rPr>
          <w:rFonts w:hint="eastAsia" w:cs="Times New Roman"/>
          <w:lang w:val="en-US" w:eastAsia="zh-CN"/>
        </w:rPr>
        <w:t>规格标记</w:t>
      </w:r>
      <w:bookmarkEnd w:id="100"/>
    </w:p>
    <w:p w14:paraId="4C6B687D">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Times New Roman" w:eastAsia="宋体" w:cs="Times New Roman"/>
          <w:szCs w:val="21"/>
          <w:lang w:val="en-US" w:eastAsia="zh-CN"/>
        </w:rPr>
      </w:pPr>
      <w:bookmarkStart w:id="101" w:name="_Toc690"/>
      <w:r>
        <w:rPr>
          <w:rFonts w:hint="eastAsia" w:ascii="宋体" w:hAnsi="Times New Roman" w:eastAsia="宋体" w:cs="Times New Roman"/>
          <w:szCs w:val="21"/>
          <w:lang w:val="en-US" w:eastAsia="zh-CN"/>
        </w:rPr>
        <w:t>电力拉线保护套的规格按“粗管段外径×粗管段长度+细管段外径×细管段长度”的方式进行标记，在产品标志、合格证及订货合同中以此作为规格标识</w:t>
      </w:r>
      <w:bookmarkEnd w:id="101"/>
      <w:r>
        <w:rPr>
          <w:rFonts w:hint="eastAsia" w:cs="Times New Roman"/>
          <w:szCs w:val="21"/>
          <w:lang w:val="en-US" w:eastAsia="zh-CN"/>
        </w:rPr>
        <w:t>，</w:t>
      </w:r>
      <w:r>
        <w:rPr>
          <w:rFonts w:ascii="宋体" w:hAnsi="宋体" w:eastAsia="宋体" w:cs="宋体"/>
          <w:sz w:val="21"/>
          <w:szCs w:val="21"/>
        </w:rPr>
        <w:t>如</w:t>
      </w:r>
      <w:r>
        <w:rPr>
          <w:rFonts w:hint="eastAsia" w:hAnsi="宋体" w:cs="宋体"/>
          <w:sz w:val="21"/>
          <w:szCs w:val="21"/>
          <w:lang w:eastAsia="zh-CN"/>
        </w:rPr>
        <w:t>“</w:t>
      </w:r>
      <w:r>
        <w:rPr>
          <w:rFonts w:ascii="宋体" w:hAnsi="宋体" w:eastAsia="宋体" w:cs="宋体"/>
          <w:sz w:val="21"/>
          <w:szCs w:val="21"/>
        </w:rPr>
        <w:t>132×1000+40×1500</w:t>
      </w:r>
      <w:r>
        <w:rPr>
          <w:rFonts w:hint="eastAsia" w:hAnsi="宋体" w:cs="宋体"/>
          <w:sz w:val="21"/>
          <w:szCs w:val="21"/>
          <w:lang w:eastAsia="zh-CN"/>
        </w:rPr>
        <w:t>”。</w:t>
      </w:r>
    </w:p>
    <w:p w14:paraId="46B14BE0">
      <w:pPr>
        <w:pStyle w:val="109"/>
        <w:spacing w:before="240" w:after="240"/>
        <w:rPr>
          <w:rFonts w:hint="eastAsia"/>
          <w:szCs w:val="21"/>
          <w:lang w:val="en-US" w:eastAsia="zh-CN"/>
        </w:rPr>
      </w:pPr>
      <w:bookmarkStart w:id="102" w:name="_Toc27541"/>
      <w:bookmarkStart w:id="103" w:name="_Toc30806"/>
      <w:r>
        <w:rPr>
          <w:rFonts w:hint="eastAsia"/>
          <w:szCs w:val="21"/>
          <w:lang w:val="en-US" w:eastAsia="zh-CN"/>
        </w:rPr>
        <w:t>技术要求</w:t>
      </w:r>
      <w:bookmarkEnd w:id="102"/>
      <w:bookmarkEnd w:id="103"/>
    </w:p>
    <w:p w14:paraId="3F0C1609">
      <w:pPr>
        <w:pStyle w:val="110"/>
        <w:numPr>
          <w:ilvl w:val="2"/>
          <w:numId w:val="2"/>
        </w:numPr>
        <w:spacing w:before="120" w:after="120"/>
        <w:rPr>
          <w:rFonts w:hint="eastAsia" w:hAnsi="Times New Roman" w:cs="Times New Roman"/>
          <w:lang w:val="en-US" w:eastAsia="zh-CN"/>
        </w:rPr>
      </w:pPr>
      <w:bookmarkStart w:id="104" w:name="_Toc30712"/>
      <w:r>
        <w:rPr>
          <w:rFonts w:hint="eastAsia" w:cs="Times New Roman"/>
          <w:lang w:val="en-US" w:eastAsia="zh-CN"/>
        </w:rPr>
        <w:t>一般要求</w:t>
      </w:r>
      <w:bookmarkEnd w:id="104"/>
    </w:p>
    <w:p w14:paraId="7B2E6756">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5.1.1 拉线保护套PVC型所用PVC树脂的K值不应小于65，改性PP型所用树脂的熔融指数（MI）应在0.5g/10min～2.0g/10min之间，GFRP型所用玻璃纤维含量不应低于30%（质量分数）。</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"https://max.book118.com/html/2019/0901/5231200240002122.shtm" \t "https://chat.deepseek.com/a/chat/s/_blank"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end"/>
      </w:r>
    </w:p>
    <w:p w14:paraId="54966818">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jc w:val="both"/>
        <w:textAlignment w:val="auto"/>
        <w:rPr>
          <w:rFonts w:hint="default" w:ascii="宋体" w:hAnsi="宋体" w:eastAsia="宋体" w:cs="宋体"/>
          <w:lang w:val="en-US" w:eastAsia="zh-CN"/>
        </w:rPr>
      </w:pPr>
      <w:r>
        <w:rPr>
          <w:rFonts w:hint="eastAsia" w:ascii="宋体" w:hAnsi="宋体" w:eastAsia="宋体" w:cs="宋体"/>
          <w:lang w:val="en-US" w:eastAsia="zh-CN"/>
        </w:rPr>
        <w:t>5.1.2 保护套在正常运行及故障电流产生的短时温升条件下，不应出现熔融、滴落或明火蔓延现象，以免对周边设备或人员造成二次伤害</w:t>
      </w:r>
      <w:r>
        <w:rPr>
          <w:rFonts w:hint="eastAsia" w:ascii="宋体" w:hAnsi="宋体" w:cs="宋体"/>
          <w:lang w:val="en-US" w:eastAsia="zh-CN"/>
        </w:rPr>
        <w:t>。</w:t>
      </w:r>
    </w:p>
    <w:p w14:paraId="7F525027">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5.1.3 产品使用说明或合格证中应包含安装注意事项及安全警示，明确告知用户禁止在雷雨天气下进行保护套的安装或拆卸操作，并提示保持与带电部分的安全距离。</w:t>
      </w:r>
    </w:p>
    <w:p w14:paraId="520237D6">
      <w:pPr>
        <w:pStyle w:val="110"/>
        <w:numPr>
          <w:ilvl w:val="2"/>
          <w:numId w:val="2"/>
        </w:numPr>
        <w:spacing w:before="120" w:after="120"/>
        <w:rPr>
          <w:rFonts w:hint="default" w:cs="Times New Roman"/>
          <w:lang w:val="en-US" w:eastAsia="zh-CN"/>
        </w:rPr>
      </w:pPr>
      <w:bookmarkStart w:id="105" w:name="_Toc12860"/>
      <w:r>
        <w:rPr>
          <w:rFonts w:hint="eastAsia" w:cs="Times New Roman"/>
          <w:lang w:val="en-US" w:eastAsia="zh-CN"/>
        </w:rPr>
        <w:t>外观与尺寸要求</w:t>
      </w:r>
      <w:bookmarkEnd w:id="105"/>
    </w:p>
    <w:p w14:paraId="3839B903">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jc w:val="both"/>
        <w:textAlignment w:val="auto"/>
        <w:rPr>
          <w:rFonts w:hint="eastAsia" w:ascii="宋体" w:hAnsi="宋体" w:cs="宋体"/>
          <w:lang w:val="en-US" w:eastAsia="zh-CN"/>
        </w:rPr>
      </w:pPr>
      <w:r>
        <w:rPr>
          <w:rFonts w:hint="eastAsia" w:ascii="宋体" w:hAnsi="宋体" w:eastAsia="宋体" w:cs="宋体"/>
          <w:lang w:val="en-US" w:eastAsia="zh-CN"/>
        </w:rPr>
        <w:t xml:space="preserve">5.2.1 </w:t>
      </w:r>
      <w:r>
        <w:rPr>
          <w:rFonts w:hint="eastAsia" w:ascii="宋体" w:hAnsi="宋体" w:cs="宋体"/>
          <w:lang w:val="en-US" w:eastAsia="zh-CN"/>
        </w:rPr>
        <w:t>外观要求</w:t>
      </w:r>
    </w:p>
    <w:p w14:paraId="27907B82">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default" w:ascii="宋体" w:hAnsi="宋体" w:cs="宋体"/>
          <w:color w:val="auto"/>
          <w:lang w:val="en-US" w:eastAsia="zh-CN"/>
        </w:rPr>
      </w:pPr>
      <w:r>
        <w:rPr>
          <w:rFonts w:hint="eastAsia" w:ascii="宋体" w:hAnsi="宋体" w:cs="宋体"/>
          <w:color w:val="auto"/>
          <w:lang w:val="en-US" w:eastAsia="zh-CN"/>
        </w:rPr>
        <w:t>应满足以下要求：</w:t>
      </w:r>
    </w:p>
    <w:p w14:paraId="6D35DBFE">
      <w:pPr>
        <w:pStyle w:val="61"/>
        <w:numPr>
          <w:ilvl w:val="0"/>
          <w:numId w:val="33"/>
        </w:numPr>
        <w:rPr>
          <w:rFonts w:hint="default" w:hAnsi="宋体" w:cs="宋体"/>
          <w:lang w:val="en-US" w:eastAsia="zh-CN"/>
        </w:rPr>
      </w:pPr>
      <w:r>
        <w:rPr>
          <w:rFonts w:hint="eastAsia" w:hAnsi="宋体" w:cs="宋体"/>
          <w:lang w:val="en-US" w:eastAsia="zh-CN"/>
        </w:rPr>
        <w:t>保护套粗管段为保护套上部主体段，细管段为保护套下部延伸段，外壁粘贴反光警示膜，两段之间应平滑过渡连接，特殊规格及非标长度由供需双方协商确定；</w:t>
      </w:r>
    </w:p>
    <w:p w14:paraId="339C0B02">
      <w:pPr>
        <w:pStyle w:val="61"/>
        <w:numPr>
          <w:ilvl w:val="0"/>
          <w:numId w:val="33"/>
        </w:numPr>
        <w:rPr>
          <w:rFonts w:hint="eastAsia" w:hAnsi="宋体" w:cs="宋体"/>
          <w:lang w:val="en-US" w:eastAsia="zh-CN"/>
        </w:rPr>
      </w:pPr>
      <w:r>
        <w:rPr>
          <w:rFonts w:hint="eastAsia" w:hAnsi="宋体" w:cs="宋体"/>
          <w:lang w:val="en-US" w:eastAsia="zh-CN"/>
        </w:rPr>
        <w:t>拉线保护套表面应平整、光滑、清洁，色泽均匀，不应有裂纹、气泡、起皮、夹渣、压折、气孔、砂眼、严重划伤及分层等缺陷，内外壁应无明显杂质及流痕；</w:t>
      </w:r>
    </w:p>
    <w:p w14:paraId="09F1886C">
      <w:pPr>
        <w:pStyle w:val="61"/>
        <w:numPr>
          <w:ilvl w:val="0"/>
          <w:numId w:val="33"/>
        </w:numPr>
        <w:rPr>
          <w:rFonts w:hint="eastAsia" w:hAnsi="宋体" w:cs="宋体"/>
          <w:lang w:val="en-US" w:eastAsia="zh-CN"/>
        </w:rPr>
      </w:pPr>
      <w:r>
        <w:rPr>
          <w:rFonts w:hint="eastAsia" w:hAnsi="宋体" w:cs="宋体"/>
          <w:lang w:val="en-US" w:eastAsia="zh-CN"/>
        </w:rPr>
        <w:t>纵向开口边缘应整齐，无毛刺、无裂口，开口处管壁不应有应力发白现象，粗管段与细管段开口应保持连续一致。</w:t>
      </w:r>
    </w:p>
    <w:p w14:paraId="3E9724D1">
      <w:pPr>
        <w:pStyle w:val="61"/>
        <w:numPr>
          <w:ilvl w:val="0"/>
          <w:numId w:val="0"/>
        </w:numPr>
        <w:rPr>
          <w:rFonts w:hint="eastAsia" w:hAnsi="宋体" w:cs="宋体"/>
          <w:lang w:val="en-US" w:eastAsia="zh-CN"/>
        </w:rPr>
      </w:pPr>
      <w:r>
        <w:rPr>
          <w:rFonts w:hint="eastAsia" w:hAnsi="宋体" w:cs="宋体"/>
          <w:lang w:val="en-US" w:eastAsia="zh-CN"/>
        </w:rPr>
        <w:t>5.2.2 尺寸要求</w:t>
      </w:r>
    </w:p>
    <w:p w14:paraId="07790886">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Times New Roman" w:eastAsia="宋体" w:cs="Times New Roman"/>
          <w:lang w:val="en-US" w:eastAsia="zh-CN"/>
        </w:rPr>
      </w:pPr>
      <w:r>
        <w:rPr>
          <w:rFonts w:hint="eastAsia" w:hAnsi="宋体" w:cs="宋体"/>
          <w:lang w:val="en-US" w:eastAsia="zh-CN"/>
        </w:rPr>
        <w:t>保护套</w:t>
      </w:r>
      <w:r>
        <w:rPr>
          <w:rFonts w:hint="eastAsia" w:ascii="宋体" w:hAnsi="Times New Roman" w:eastAsia="宋体" w:cs="Times New Roman"/>
          <w:lang w:val="en-US" w:eastAsia="zh-CN"/>
        </w:rPr>
        <w:t>具体尺寸要求见表1。</w:t>
      </w:r>
    </w:p>
    <w:p w14:paraId="75353E0A">
      <w:pPr>
        <w:pStyle w:val="61"/>
        <w:autoSpaceDE w:val="0"/>
        <w:autoSpaceDN w:val="0"/>
        <w:spacing w:before="157" w:beforeLines="50" w:after="157" w:afterLines="50"/>
        <w:ind w:firstLine="0" w:firstLineChars="0"/>
        <w:jc w:val="center"/>
        <w:rPr>
          <w:rFonts w:hint="default" w:ascii="黑体" w:hAnsi="黑体" w:eastAsia="黑体" w:cs="黑体"/>
          <w:szCs w:val="20"/>
          <w:lang w:val="en-US" w:eastAsia="zh-CN"/>
        </w:rPr>
      </w:pPr>
      <w:r>
        <w:rPr>
          <w:rFonts w:hint="eastAsia" w:ascii="黑体" w:hAnsi="黑体" w:eastAsia="黑体" w:cs="黑体"/>
          <w:szCs w:val="20"/>
          <w:lang w:val="en-US" w:eastAsia="zh-CN"/>
        </w:rPr>
        <w:t>表1 电力拉线保护套基本参数要求</w:t>
      </w:r>
    </w:p>
    <w:tbl>
      <w:tblPr>
        <w:tblStyle w:val="31"/>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1967"/>
        <w:gridCol w:w="1967"/>
        <w:gridCol w:w="1967"/>
        <w:gridCol w:w="1969"/>
      </w:tblGrid>
      <w:tr w14:paraId="3119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967" w:type="dxa"/>
            <w:vAlign w:val="center"/>
          </w:tcPr>
          <w:p w14:paraId="61D238DF">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管段类型</w:t>
            </w:r>
          </w:p>
        </w:tc>
        <w:tc>
          <w:tcPr>
            <w:tcW w:w="1967" w:type="dxa"/>
            <w:vAlign w:val="center"/>
          </w:tcPr>
          <w:p w14:paraId="40A313AE">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公称外径/mm</w:t>
            </w:r>
          </w:p>
        </w:tc>
        <w:tc>
          <w:tcPr>
            <w:tcW w:w="1967" w:type="dxa"/>
            <w:vAlign w:val="center"/>
          </w:tcPr>
          <w:p w14:paraId="67515F84">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壁厚/mm</w:t>
            </w:r>
          </w:p>
        </w:tc>
        <w:tc>
          <w:tcPr>
            <w:tcW w:w="1967" w:type="dxa"/>
            <w:vAlign w:val="center"/>
          </w:tcPr>
          <w:p w14:paraId="1E33DF6C">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长度/mm</w:t>
            </w:r>
          </w:p>
        </w:tc>
        <w:tc>
          <w:tcPr>
            <w:tcW w:w="1969" w:type="dxa"/>
            <w:vAlign w:val="center"/>
          </w:tcPr>
          <w:p w14:paraId="2F79A133">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适用拉线钢绞线直径范围/mm</w:t>
            </w:r>
          </w:p>
        </w:tc>
      </w:tr>
      <w:tr w14:paraId="45C3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7" w:type="dxa"/>
            <w:vMerge w:val="restart"/>
            <w:vAlign w:val="center"/>
          </w:tcPr>
          <w:p w14:paraId="4A49457B">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粗管段</w:t>
            </w:r>
          </w:p>
        </w:tc>
        <w:tc>
          <w:tcPr>
            <w:tcW w:w="1967" w:type="dxa"/>
            <w:vAlign w:val="center"/>
          </w:tcPr>
          <w:p w14:paraId="15DFB590">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116</w:t>
            </w:r>
            <w:r>
              <w:rPr>
                <w:rFonts w:hint="eastAsia" w:ascii="宋体" w:hAnsi="宋体" w:eastAsia="宋体" w:cs="宋体"/>
                <w:i w:val="0"/>
                <w:iCs w:val="0"/>
                <w:caps w:val="0"/>
                <w:color w:val="0F1115"/>
                <w:spacing w:val="0"/>
                <w:sz w:val="18"/>
                <w:szCs w:val="18"/>
                <w:shd w:val="clear" w:fill="FFFFFF"/>
              </w:rPr>
              <w:t>±2.0</w:t>
            </w:r>
          </w:p>
        </w:tc>
        <w:tc>
          <w:tcPr>
            <w:tcW w:w="1967" w:type="dxa"/>
            <w:vAlign w:val="center"/>
          </w:tcPr>
          <w:p w14:paraId="048D97D3">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3.0±0.3</w:t>
            </w:r>
          </w:p>
        </w:tc>
        <w:tc>
          <w:tcPr>
            <w:tcW w:w="1967" w:type="dxa"/>
            <w:vAlign w:val="center"/>
          </w:tcPr>
          <w:p w14:paraId="7711FF65">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6D529857">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8～12</w:t>
            </w:r>
          </w:p>
        </w:tc>
      </w:tr>
      <w:tr w14:paraId="783D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7" w:type="dxa"/>
            <w:vMerge w:val="continue"/>
            <w:vAlign w:val="center"/>
          </w:tcPr>
          <w:p w14:paraId="3501B009">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p>
        </w:tc>
        <w:tc>
          <w:tcPr>
            <w:tcW w:w="1967" w:type="dxa"/>
            <w:vAlign w:val="center"/>
          </w:tcPr>
          <w:p w14:paraId="6AC85EDB">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132</w:t>
            </w:r>
            <w:r>
              <w:rPr>
                <w:rFonts w:hint="eastAsia" w:ascii="宋体" w:hAnsi="宋体" w:eastAsia="宋体" w:cs="宋体"/>
                <w:i w:val="0"/>
                <w:iCs w:val="0"/>
                <w:caps w:val="0"/>
                <w:color w:val="0F1115"/>
                <w:spacing w:val="0"/>
                <w:sz w:val="18"/>
                <w:szCs w:val="18"/>
                <w:shd w:val="clear" w:fill="FFFFFF"/>
              </w:rPr>
              <w:t>±2.5</w:t>
            </w:r>
          </w:p>
        </w:tc>
        <w:tc>
          <w:tcPr>
            <w:tcW w:w="1967" w:type="dxa"/>
            <w:vAlign w:val="center"/>
          </w:tcPr>
          <w:p w14:paraId="61372105">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3.5±0.3</w:t>
            </w:r>
          </w:p>
        </w:tc>
        <w:tc>
          <w:tcPr>
            <w:tcW w:w="1967" w:type="dxa"/>
            <w:vAlign w:val="center"/>
          </w:tcPr>
          <w:p w14:paraId="62EFE40E">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28D67C6F">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12～16</w:t>
            </w:r>
          </w:p>
        </w:tc>
      </w:tr>
      <w:tr w14:paraId="6E38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7" w:type="dxa"/>
            <w:vMerge w:val="continue"/>
            <w:vAlign w:val="center"/>
          </w:tcPr>
          <w:p w14:paraId="3BAACE19">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p>
        </w:tc>
        <w:tc>
          <w:tcPr>
            <w:tcW w:w="1967" w:type="dxa"/>
            <w:vAlign w:val="center"/>
          </w:tcPr>
          <w:p w14:paraId="05DBED0F">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137</w:t>
            </w:r>
            <w:r>
              <w:rPr>
                <w:rFonts w:hint="eastAsia" w:ascii="宋体" w:hAnsi="宋体" w:eastAsia="宋体" w:cs="宋体"/>
                <w:i w:val="0"/>
                <w:iCs w:val="0"/>
                <w:caps w:val="0"/>
                <w:color w:val="0F1115"/>
                <w:spacing w:val="0"/>
                <w:sz w:val="18"/>
                <w:szCs w:val="18"/>
                <w:shd w:val="clear" w:fill="FFFFFF"/>
              </w:rPr>
              <w:t>±2.5</w:t>
            </w:r>
          </w:p>
        </w:tc>
        <w:tc>
          <w:tcPr>
            <w:tcW w:w="1967" w:type="dxa"/>
            <w:vAlign w:val="center"/>
          </w:tcPr>
          <w:p w14:paraId="2AC77C31">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3.5±0.3</w:t>
            </w:r>
          </w:p>
        </w:tc>
        <w:tc>
          <w:tcPr>
            <w:tcW w:w="1967" w:type="dxa"/>
            <w:vAlign w:val="center"/>
          </w:tcPr>
          <w:p w14:paraId="452BA587">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1E4FDE59">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14～18</w:t>
            </w:r>
          </w:p>
        </w:tc>
      </w:tr>
      <w:tr w14:paraId="3E75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7" w:type="dxa"/>
            <w:vMerge w:val="continue"/>
            <w:vAlign w:val="center"/>
          </w:tcPr>
          <w:p w14:paraId="1A8083C0">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p>
        </w:tc>
        <w:tc>
          <w:tcPr>
            <w:tcW w:w="1967" w:type="dxa"/>
            <w:vAlign w:val="center"/>
          </w:tcPr>
          <w:p w14:paraId="44C82934">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168</w:t>
            </w:r>
            <w:r>
              <w:rPr>
                <w:rFonts w:hint="eastAsia" w:ascii="宋体" w:hAnsi="宋体" w:eastAsia="宋体" w:cs="宋体"/>
                <w:i w:val="0"/>
                <w:iCs w:val="0"/>
                <w:caps w:val="0"/>
                <w:color w:val="0F1115"/>
                <w:spacing w:val="0"/>
                <w:sz w:val="18"/>
                <w:szCs w:val="18"/>
                <w:shd w:val="clear" w:fill="FFFFFF"/>
              </w:rPr>
              <w:t>±3.0</w:t>
            </w:r>
          </w:p>
        </w:tc>
        <w:tc>
          <w:tcPr>
            <w:tcW w:w="1967" w:type="dxa"/>
            <w:vAlign w:val="center"/>
          </w:tcPr>
          <w:p w14:paraId="270523D2">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4.0±0.4</w:t>
            </w:r>
          </w:p>
        </w:tc>
        <w:tc>
          <w:tcPr>
            <w:tcW w:w="1967" w:type="dxa"/>
            <w:vAlign w:val="center"/>
          </w:tcPr>
          <w:p w14:paraId="5627E50E">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366C56C0">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18～24</w:t>
            </w:r>
          </w:p>
        </w:tc>
      </w:tr>
      <w:tr w14:paraId="5CDB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7" w:type="dxa"/>
            <w:vMerge w:val="restart"/>
            <w:vAlign w:val="center"/>
          </w:tcPr>
          <w:p w14:paraId="56D5C414">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rPr>
              <w:t>细管段</w:t>
            </w:r>
          </w:p>
        </w:tc>
        <w:tc>
          <w:tcPr>
            <w:tcW w:w="1967" w:type="dxa"/>
            <w:vAlign w:val="center"/>
          </w:tcPr>
          <w:p w14:paraId="31F2FA16">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32</w:t>
            </w:r>
            <w:r>
              <w:rPr>
                <w:rFonts w:hint="eastAsia" w:ascii="宋体" w:hAnsi="宋体" w:eastAsia="宋体" w:cs="宋体"/>
                <w:i w:val="0"/>
                <w:iCs w:val="0"/>
                <w:caps w:val="0"/>
                <w:color w:val="0F1115"/>
                <w:spacing w:val="0"/>
                <w:sz w:val="18"/>
                <w:szCs w:val="18"/>
                <w:shd w:val="clear" w:fill="FFFFFF"/>
              </w:rPr>
              <w:t>±1.0</w:t>
            </w:r>
          </w:p>
        </w:tc>
        <w:tc>
          <w:tcPr>
            <w:tcW w:w="1967" w:type="dxa"/>
            <w:vAlign w:val="center"/>
          </w:tcPr>
          <w:p w14:paraId="0DEDC487">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rPr>
            </w:pPr>
            <w:r>
              <w:rPr>
                <w:rFonts w:hint="eastAsia" w:ascii="宋体" w:hAnsi="宋体" w:eastAsia="宋体" w:cs="宋体"/>
                <w:i w:val="0"/>
                <w:iCs w:val="0"/>
                <w:caps w:val="0"/>
                <w:color w:val="0F1115"/>
                <w:spacing w:val="0"/>
                <w:sz w:val="18"/>
                <w:szCs w:val="18"/>
                <w:shd w:val="clear" w:fill="FFFFFF"/>
              </w:rPr>
              <w:t>2.0±0.2</w:t>
            </w:r>
          </w:p>
        </w:tc>
        <w:tc>
          <w:tcPr>
            <w:tcW w:w="1967" w:type="dxa"/>
            <w:vAlign w:val="center"/>
          </w:tcPr>
          <w:p w14:paraId="1A978D75">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025C964D">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lang w:val="en-US" w:eastAsia="zh-CN"/>
              </w:rPr>
            </w:pPr>
            <w:r>
              <w:rPr>
                <w:rFonts w:hint="eastAsia" w:ascii="宋体" w:hAnsi="宋体" w:eastAsia="宋体" w:cs="宋体"/>
                <w:i w:val="0"/>
                <w:iCs w:val="0"/>
                <w:caps w:val="0"/>
                <w:color w:val="0F1115"/>
                <w:spacing w:val="0"/>
                <w:sz w:val="18"/>
                <w:szCs w:val="18"/>
                <w:shd w:val="clear" w:fill="FFFFFF"/>
                <w:lang w:val="en-US" w:eastAsia="zh-CN"/>
              </w:rPr>
              <w:t>——</w:t>
            </w:r>
          </w:p>
        </w:tc>
      </w:tr>
      <w:tr w14:paraId="7A2B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7" w:type="dxa"/>
            <w:vMerge w:val="continue"/>
            <w:vAlign w:val="center"/>
          </w:tcPr>
          <w:p w14:paraId="732E1F11">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p>
        </w:tc>
        <w:tc>
          <w:tcPr>
            <w:tcW w:w="1967" w:type="dxa"/>
            <w:vAlign w:val="center"/>
          </w:tcPr>
          <w:p w14:paraId="0342FCE9">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40</w:t>
            </w:r>
            <w:r>
              <w:rPr>
                <w:rFonts w:hint="eastAsia" w:ascii="宋体" w:hAnsi="宋体" w:eastAsia="宋体" w:cs="宋体"/>
                <w:i w:val="0"/>
                <w:iCs w:val="0"/>
                <w:caps w:val="0"/>
                <w:color w:val="0F1115"/>
                <w:spacing w:val="0"/>
                <w:sz w:val="18"/>
                <w:szCs w:val="18"/>
                <w:shd w:val="clear" w:fill="FFFFFF"/>
              </w:rPr>
              <w:t>±1.5</w:t>
            </w:r>
          </w:p>
        </w:tc>
        <w:tc>
          <w:tcPr>
            <w:tcW w:w="1967" w:type="dxa"/>
            <w:vAlign w:val="center"/>
          </w:tcPr>
          <w:p w14:paraId="050F74F8">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rPr>
            </w:pPr>
            <w:r>
              <w:rPr>
                <w:rFonts w:hint="eastAsia" w:ascii="宋体" w:hAnsi="宋体" w:eastAsia="宋体" w:cs="宋体"/>
                <w:i w:val="0"/>
                <w:iCs w:val="0"/>
                <w:caps w:val="0"/>
                <w:color w:val="0F1115"/>
                <w:spacing w:val="0"/>
                <w:sz w:val="18"/>
                <w:szCs w:val="18"/>
                <w:shd w:val="clear" w:fill="FFFFFF"/>
              </w:rPr>
              <w:t>2.5±0.2</w:t>
            </w:r>
          </w:p>
        </w:tc>
        <w:tc>
          <w:tcPr>
            <w:tcW w:w="1967" w:type="dxa"/>
            <w:vAlign w:val="center"/>
          </w:tcPr>
          <w:p w14:paraId="6BC3B2D8">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0B9B4F5D">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lang w:eastAsia="zh-CN"/>
              </w:rPr>
            </w:pPr>
            <w:r>
              <w:rPr>
                <w:rFonts w:hint="eastAsia" w:ascii="宋体" w:hAnsi="宋体" w:eastAsia="宋体" w:cs="宋体"/>
                <w:i w:val="0"/>
                <w:iCs w:val="0"/>
                <w:caps w:val="0"/>
                <w:color w:val="0F1115"/>
                <w:spacing w:val="0"/>
                <w:sz w:val="18"/>
                <w:szCs w:val="18"/>
                <w:shd w:val="clear" w:fill="FFFFFF"/>
                <w:lang w:eastAsia="zh-CN"/>
              </w:rPr>
              <w:t>——</w:t>
            </w:r>
          </w:p>
        </w:tc>
      </w:tr>
      <w:tr w14:paraId="71E9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7" w:type="dxa"/>
            <w:vMerge w:val="continue"/>
            <w:vAlign w:val="center"/>
          </w:tcPr>
          <w:p w14:paraId="1A84E740">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p>
        </w:tc>
        <w:tc>
          <w:tcPr>
            <w:tcW w:w="1967" w:type="dxa"/>
            <w:vAlign w:val="center"/>
          </w:tcPr>
          <w:p w14:paraId="4891628D">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50</w:t>
            </w:r>
            <w:r>
              <w:rPr>
                <w:rFonts w:hint="eastAsia" w:ascii="宋体" w:hAnsi="宋体" w:eastAsia="宋体" w:cs="宋体"/>
                <w:i w:val="0"/>
                <w:iCs w:val="0"/>
                <w:caps w:val="0"/>
                <w:color w:val="0F1115"/>
                <w:spacing w:val="0"/>
                <w:sz w:val="18"/>
                <w:szCs w:val="18"/>
                <w:shd w:val="clear" w:fill="FFFFFF"/>
              </w:rPr>
              <w:t>±1.5</w:t>
            </w:r>
          </w:p>
        </w:tc>
        <w:tc>
          <w:tcPr>
            <w:tcW w:w="1967" w:type="dxa"/>
            <w:vAlign w:val="center"/>
          </w:tcPr>
          <w:p w14:paraId="3DA01531">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rPr>
            </w:pPr>
            <w:r>
              <w:rPr>
                <w:rFonts w:hint="eastAsia" w:ascii="宋体" w:hAnsi="宋体" w:eastAsia="宋体" w:cs="宋体"/>
                <w:i w:val="0"/>
                <w:iCs w:val="0"/>
                <w:caps w:val="0"/>
                <w:color w:val="0F1115"/>
                <w:spacing w:val="0"/>
                <w:sz w:val="18"/>
                <w:szCs w:val="18"/>
                <w:shd w:val="clear" w:fill="FFFFFF"/>
              </w:rPr>
              <w:t>2.5±0.2</w:t>
            </w:r>
          </w:p>
        </w:tc>
        <w:tc>
          <w:tcPr>
            <w:tcW w:w="1967" w:type="dxa"/>
            <w:vAlign w:val="center"/>
          </w:tcPr>
          <w:p w14:paraId="48DCA552">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41F201D5">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lang w:eastAsia="zh-CN"/>
              </w:rPr>
            </w:pPr>
            <w:r>
              <w:rPr>
                <w:rFonts w:hint="eastAsia" w:ascii="宋体" w:hAnsi="宋体" w:eastAsia="宋体" w:cs="宋体"/>
                <w:i w:val="0"/>
                <w:iCs w:val="0"/>
                <w:caps w:val="0"/>
                <w:color w:val="0F1115"/>
                <w:spacing w:val="0"/>
                <w:sz w:val="18"/>
                <w:szCs w:val="18"/>
                <w:shd w:val="clear" w:fill="FFFFFF"/>
                <w:lang w:eastAsia="zh-CN"/>
              </w:rPr>
              <w:t>——</w:t>
            </w:r>
          </w:p>
        </w:tc>
      </w:tr>
      <w:tr w14:paraId="3405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967" w:type="dxa"/>
            <w:vMerge w:val="continue"/>
            <w:vAlign w:val="center"/>
          </w:tcPr>
          <w:p w14:paraId="070A60F3">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p>
        </w:tc>
        <w:tc>
          <w:tcPr>
            <w:tcW w:w="1967" w:type="dxa"/>
            <w:vAlign w:val="center"/>
          </w:tcPr>
          <w:p w14:paraId="2144ED95">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75</w:t>
            </w:r>
            <w:r>
              <w:rPr>
                <w:rFonts w:hint="eastAsia" w:ascii="宋体" w:hAnsi="宋体" w:eastAsia="宋体" w:cs="宋体"/>
                <w:i w:val="0"/>
                <w:iCs w:val="0"/>
                <w:caps w:val="0"/>
                <w:color w:val="0F1115"/>
                <w:spacing w:val="0"/>
                <w:sz w:val="18"/>
                <w:szCs w:val="18"/>
                <w:shd w:val="clear" w:fill="FFFFFF"/>
              </w:rPr>
              <w:t>±2.0</w:t>
            </w:r>
          </w:p>
        </w:tc>
        <w:tc>
          <w:tcPr>
            <w:tcW w:w="1967" w:type="dxa"/>
            <w:vAlign w:val="center"/>
          </w:tcPr>
          <w:p w14:paraId="381DF0C3">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rPr>
            </w:pPr>
            <w:r>
              <w:rPr>
                <w:rFonts w:hint="eastAsia" w:ascii="宋体" w:hAnsi="宋体" w:eastAsia="宋体" w:cs="宋体"/>
                <w:i w:val="0"/>
                <w:iCs w:val="0"/>
                <w:caps w:val="0"/>
                <w:color w:val="0F1115"/>
                <w:spacing w:val="0"/>
                <w:sz w:val="18"/>
                <w:szCs w:val="18"/>
                <w:shd w:val="clear" w:fill="FFFFFF"/>
              </w:rPr>
              <w:t>3.0±0.3</w:t>
            </w:r>
          </w:p>
        </w:tc>
        <w:tc>
          <w:tcPr>
            <w:tcW w:w="1967" w:type="dxa"/>
            <w:vAlign w:val="center"/>
          </w:tcPr>
          <w:p w14:paraId="403517DB">
            <w:pPr>
              <w:pStyle w:val="61"/>
              <w:autoSpaceDE w:val="0"/>
              <w:autoSpaceDN w:val="0"/>
              <w:spacing w:before="157" w:beforeLines="50" w:after="157" w:afterLines="50"/>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2000</w:t>
            </w:r>
            <w:r>
              <w:rPr>
                <w:rFonts w:hint="eastAsia" w:ascii="宋体" w:hAnsi="宋体" w:eastAsia="宋体" w:cs="宋体"/>
                <w:i w:val="0"/>
                <w:iCs w:val="0"/>
                <w:caps w:val="0"/>
                <w:color w:val="0F1115"/>
                <w:spacing w:val="0"/>
                <w:sz w:val="18"/>
                <w:szCs w:val="18"/>
                <w:shd w:val="clear" w:fill="FFFFFF"/>
              </w:rPr>
              <w:t>±10</w:t>
            </w:r>
          </w:p>
        </w:tc>
        <w:tc>
          <w:tcPr>
            <w:tcW w:w="1969" w:type="dxa"/>
            <w:vAlign w:val="center"/>
          </w:tcPr>
          <w:p w14:paraId="348AF862">
            <w:pPr>
              <w:pStyle w:val="61"/>
              <w:autoSpaceDE w:val="0"/>
              <w:autoSpaceDN w:val="0"/>
              <w:spacing w:before="157" w:beforeLines="50" w:after="157" w:afterLines="50"/>
              <w:ind w:left="0" w:leftChars="0" w:firstLine="0" w:firstLineChars="0"/>
              <w:jc w:val="center"/>
              <w:rPr>
                <w:rFonts w:hint="eastAsia" w:ascii="宋体" w:hAnsi="宋体" w:eastAsia="宋体" w:cs="宋体"/>
                <w:i w:val="0"/>
                <w:iCs w:val="0"/>
                <w:caps w:val="0"/>
                <w:color w:val="0F1115"/>
                <w:spacing w:val="0"/>
                <w:sz w:val="18"/>
                <w:szCs w:val="18"/>
                <w:shd w:val="clear" w:fill="FFFFFF"/>
                <w:lang w:eastAsia="zh-CN"/>
              </w:rPr>
            </w:pPr>
            <w:r>
              <w:rPr>
                <w:rFonts w:hint="eastAsia" w:ascii="宋体" w:hAnsi="宋体" w:eastAsia="宋体" w:cs="宋体"/>
                <w:i w:val="0"/>
                <w:iCs w:val="0"/>
                <w:caps w:val="0"/>
                <w:color w:val="0F1115"/>
                <w:spacing w:val="0"/>
                <w:sz w:val="18"/>
                <w:szCs w:val="18"/>
                <w:shd w:val="clear" w:fill="FFFFFF"/>
                <w:lang w:eastAsia="zh-CN"/>
              </w:rPr>
              <w:t>——</w:t>
            </w:r>
          </w:p>
        </w:tc>
      </w:tr>
      <w:tr w14:paraId="52EC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837" w:type="dxa"/>
            <w:gridSpan w:val="5"/>
            <w:vAlign w:val="center"/>
          </w:tcPr>
          <w:p w14:paraId="1F65DFCD">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360" w:firstLineChars="200"/>
              <w:jc w:val="both"/>
              <w:textAlignment w:val="auto"/>
              <w:rPr>
                <w:rFonts w:hint="eastAsia" w:ascii="宋体" w:hAnsi="宋体" w:eastAsia="宋体" w:cs="宋体"/>
                <w:sz w:val="18"/>
                <w:szCs w:val="18"/>
                <w:lang w:val="en-US" w:eastAsia="zh-CN"/>
              </w:rPr>
            </w:pPr>
            <w:r>
              <w:rPr>
                <w:rFonts w:hint="eastAsia" w:ascii="黑体" w:hAnsi="黑体" w:eastAsia="黑体" w:cs="黑体"/>
                <w:sz w:val="18"/>
                <w:szCs w:val="18"/>
                <w:lang w:val="en-US" w:eastAsia="zh-CN"/>
              </w:rPr>
              <w:t>注1：</w:t>
            </w:r>
            <w:r>
              <w:rPr>
                <w:rFonts w:hint="eastAsia" w:ascii="宋体" w:hAnsi="宋体" w:eastAsia="宋体" w:cs="宋体"/>
                <w:sz w:val="18"/>
                <w:szCs w:val="18"/>
                <w:lang w:val="en-US" w:eastAsia="zh-CN"/>
              </w:rPr>
              <w:t>保护套总长度为粗管段长度与细管段长度之和，总长度允许偏差为±15mm</w:t>
            </w:r>
            <w:r>
              <w:rPr>
                <w:rFonts w:hint="eastAsia" w:ascii="宋体" w:hAnsi="宋体" w:cs="宋体"/>
                <w:sz w:val="18"/>
                <w:szCs w:val="18"/>
                <w:lang w:val="en-US" w:eastAsia="zh-CN"/>
              </w:rPr>
              <w:t>，</w:t>
            </w:r>
            <w:r>
              <w:rPr>
                <w:rFonts w:hint="eastAsia" w:ascii="宋体" w:hAnsi="宋体" w:eastAsia="宋体" w:cs="宋体"/>
                <w:sz w:val="18"/>
                <w:szCs w:val="18"/>
                <w:lang w:val="en-US" w:eastAsia="zh-CN"/>
              </w:rPr>
              <w:t>过渡区长度不应小于50mm。</w:t>
            </w:r>
          </w:p>
          <w:p w14:paraId="0F7B965F">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360" w:firstLineChars="200"/>
              <w:jc w:val="both"/>
              <w:textAlignment w:val="auto"/>
              <w:rPr>
                <w:rFonts w:hint="eastAsia" w:ascii="宋体" w:hAnsi="宋体" w:eastAsia="宋体" w:cs="宋体"/>
                <w:sz w:val="18"/>
                <w:szCs w:val="18"/>
                <w:lang w:val="en-US" w:eastAsia="zh-CN"/>
              </w:rPr>
            </w:pPr>
            <w:r>
              <w:rPr>
                <w:rFonts w:hint="eastAsia" w:ascii="黑体" w:hAnsi="黑体" w:eastAsia="黑体" w:cs="黑体"/>
                <w:sz w:val="18"/>
                <w:szCs w:val="18"/>
                <w:lang w:val="en-US" w:eastAsia="zh-CN"/>
              </w:rPr>
              <w:t>注2：</w:t>
            </w:r>
            <w:r>
              <w:rPr>
                <w:rFonts w:hint="eastAsia" w:ascii="宋体" w:hAnsi="宋体" w:eastAsia="宋体" w:cs="宋体"/>
                <w:sz w:val="18"/>
                <w:szCs w:val="18"/>
                <w:lang w:val="en-US" w:eastAsia="zh-CN"/>
              </w:rPr>
              <w:t>同一截面上最大壁厚与最小壁厚之差不应超过0.5mm。</w:t>
            </w:r>
          </w:p>
          <w:p w14:paraId="72B72276">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360" w:firstLineChars="200"/>
              <w:jc w:val="both"/>
              <w:textAlignment w:val="auto"/>
              <w:rPr>
                <w:rFonts w:hint="eastAsia" w:ascii="宋体" w:hAnsi="宋体" w:eastAsia="宋体" w:cs="宋体"/>
                <w:sz w:val="18"/>
                <w:szCs w:val="18"/>
                <w:lang w:val="en-US" w:eastAsia="zh-CN"/>
              </w:rPr>
            </w:pPr>
            <w:r>
              <w:rPr>
                <w:rFonts w:hint="eastAsia" w:ascii="黑体" w:hAnsi="黑体" w:eastAsia="黑体" w:cs="黑体"/>
                <w:sz w:val="18"/>
                <w:szCs w:val="18"/>
                <w:lang w:val="en-US" w:eastAsia="zh-CN"/>
              </w:rPr>
              <w:t>注3：</w:t>
            </w:r>
            <w:r>
              <w:rPr>
                <w:rFonts w:hint="eastAsia" w:ascii="宋体" w:hAnsi="宋体" w:eastAsia="宋体" w:cs="宋体"/>
                <w:sz w:val="18"/>
                <w:szCs w:val="18"/>
                <w:lang w:val="en-US" w:eastAsia="zh-CN"/>
              </w:rPr>
              <w:t>纵向开口宽度在自然状态下应为（6±2）mm，粗管段与细管段开口应保持连续一致。</w:t>
            </w:r>
          </w:p>
          <w:p w14:paraId="5015AF90">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360" w:firstLineChars="200"/>
              <w:jc w:val="both"/>
              <w:textAlignment w:val="auto"/>
              <w:rPr>
                <w:rFonts w:hint="eastAsia" w:ascii="宋体" w:hAnsi="宋体" w:eastAsia="宋体" w:cs="宋体"/>
                <w:i w:val="0"/>
                <w:iCs w:val="0"/>
                <w:caps w:val="0"/>
                <w:color w:val="0F1115"/>
                <w:spacing w:val="0"/>
                <w:sz w:val="18"/>
                <w:szCs w:val="18"/>
                <w:shd w:val="clear" w:fill="FFFFFF"/>
                <w:lang w:eastAsia="zh-CN"/>
              </w:rPr>
            </w:pPr>
            <w:r>
              <w:rPr>
                <w:rFonts w:hint="eastAsia" w:ascii="黑体" w:hAnsi="黑体" w:eastAsia="黑体" w:cs="黑体"/>
                <w:sz w:val="18"/>
                <w:szCs w:val="18"/>
                <w:lang w:val="en-US" w:eastAsia="zh-CN"/>
              </w:rPr>
              <w:t>注4：</w:t>
            </w:r>
            <w:r>
              <w:rPr>
                <w:rFonts w:hint="eastAsia" w:ascii="宋体" w:hAnsi="宋体" w:eastAsia="宋体" w:cs="宋体"/>
                <w:sz w:val="18"/>
                <w:szCs w:val="18"/>
                <w:lang w:val="en-US" w:eastAsia="zh-CN"/>
              </w:rPr>
              <w:t>本文件规定的产品运行适用环境温度为-40℃～+60℃，在此温度范围内产品的机械性能与电气性能均能满足设计要求。</w:t>
            </w:r>
          </w:p>
        </w:tc>
      </w:tr>
    </w:tbl>
    <w:p w14:paraId="66B5037E">
      <w:pPr>
        <w:pStyle w:val="110"/>
        <w:numPr>
          <w:ilvl w:val="2"/>
          <w:numId w:val="2"/>
        </w:numPr>
        <w:spacing w:before="120" w:after="120"/>
        <w:rPr>
          <w:rFonts w:hint="eastAsia" w:hAnsi="Times New Roman" w:cs="Times New Roman"/>
          <w:lang w:val="en-US" w:eastAsia="zh-CN"/>
        </w:rPr>
      </w:pPr>
      <w:bookmarkStart w:id="106" w:name="_Toc8790"/>
      <w:r>
        <w:rPr>
          <w:rFonts w:hint="eastAsia" w:cs="Times New Roman"/>
          <w:lang w:val="en-US" w:eastAsia="zh-CN"/>
        </w:rPr>
        <w:t>物理机械性能要求</w:t>
      </w:r>
      <w:bookmarkEnd w:id="106"/>
    </w:p>
    <w:p w14:paraId="20609350">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default" w:ascii="宋体" w:hAnsi="宋体" w:eastAsia="宋体" w:cs="宋体"/>
          <w:sz w:val="21"/>
          <w:lang w:val="en-US" w:eastAsia="zh-CN" w:bidi="ar-SA"/>
        </w:rPr>
      </w:pPr>
      <w:r>
        <w:rPr>
          <w:rFonts w:hint="eastAsia" w:ascii="宋体" w:hAnsi="宋体" w:eastAsia="宋体" w:cs="宋体"/>
          <w:sz w:val="21"/>
          <w:lang w:val="en-US" w:eastAsia="zh-CN" w:bidi="ar-SA"/>
        </w:rPr>
        <w:t>5.</w:t>
      </w:r>
      <w:r>
        <w:rPr>
          <w:rFonts w:hint="eastAsia" w:hAnsi="宋体" w:cs="宋体"/>
          <w:sz w:val="21"/>
          <w:lang w:val="en-US" w:eastAsia="zh-CN" w:bidi="ar-SA"/>
        </w:rPr>
        <w:t>3</w:t>
      </w:r>
      <w:r>
        <w:rPr>
          <w:rFonts w:hint="eastAsia" w:ascii="宋体" w:hAnsi="宋体" w:eastAsia="宋体" w:cs="宋体"/>
          <w:sz w:val="21"/>
          <w:lang w:val="en-US" w:eastAsia="zh-CN" w:bidi="ar-SA"/>
        </w:rPr>
        <w:t>.1 拉伸性能</w:t>
      </w:r>
    </w:p>
    <w:p w14:paraId="17446958">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PVC型拉线保护套的拉伸强度不应小于40MPa，改性PP型拉线保护套的拉伸强度不应小于22MPa，GFRP型拉线保护套的拉伸强度不应小于70MPa。</w:t>
      </w:r>
    </w:p>
    <w:p w14:paraId="56B308E1">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5.</w:t>
      </w:r>
      <w:r>
        <w:rPr>
          <w:rFonts w:hint="eastAsia" w:hAnsi="宋体" w:cs="宋体"/>
          <w:sz w:val="21"/>
          <w:lang w:val="en-US" w:eastAsia="zh-CN" w:bidi="ar-SA"/>
        </w:rPr>
        <w:t>3</w:t>
      </w:r>
      <w:r>
        <w:rPr>
          <w:rFonts w:hint="eastAsia" w:ascii="宋体" w:hAnsi="宋体" w:eastAsia="宋体" w:cs="宋体"/>
          <w:sz w:val="21"/>
          <w:lang w:val="en-US" w:eastAsia="zh-CN" w:bidi="ar-SA"/>
        </w:rPr>
        <w:t>.2 断裂伸长率</w:t>
      </w:r>
    </w:p>
    <w:p w14:paraId="30FA0CCD">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PVC型拉线保护套的断裂伸长率不应小于80%，改性PP型拉线保护套的断裂伸长率不应小于100%，GFRP型拉线保护套的断裂伸长率不应小于3%。</w:t>
      </w:r>
    </w:p>
    <w:p w14:paraId="04A26E06">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5.</w:t>
      </w:r>
      <w:r>
        <w:rPr>
          <w:rFonts w:hint="eastAsia" w:hAnsi="宋体" w:cs="宋体"/>
          <w:sz w:val="21"/>
          <w:lang w:val="en-US" w:eastAsia="zh-CN" w:bidi="ar-SA"/>
        </w:rPr>
        <w:t>3</w:t>
      </w:r>
      <w:r>
        <w:rPr>
          <w:rFonts w:hint="eastAsia" w:ascii="宋体" w:hAnsi="宋体" w:eastAsia="宋体" w:cs="宋体"/>
          <w:sz w:val="21"/>
          <w:lang w:val="en-US" w:eastAsia="zh-CN" w:bidi="ar-SA"/>
        </w:rPr>
        <w:t>.3 纵向回缩率</w:t>
      </w:r>
    </w:p>
    <w:p w14:paraId="0F38F40A">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PVC型及改性PP型拉线保护套在150℃±2℃条件下加热处理60min，纵向回缩率不应大于5%，GFRP型拉线保护套的纵向回缩率不应大于0.5%。</w:t>
      </w:r>
    </w:p>
    <w:p w14:paraId="26E122FD">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5.</w:t>
      </w:r>
      <w:r>
        <w:rPr>
          <w:rFonts w:hint="eastAsia" w:hAnsi="宋体" w:cs="宋体"/>
          <w:sz w:val="21"/>
          <w:lang w:val="en-US" w:eastAsia="zh-CN" w:bidi="ar-SA"/>
        </w:rPr>
        <w:t>3</w:t>
      </w:r>
      <w:r>
        <w:rPr>
          <w:rFonts w:hint="eastAsia" w:ascii="宋体" w:hAnsi="宋体" w:eastAsia="宋体" w:cs="宋体"/>
          <w:sz w:val="21"/>
          <w:lang w:val="en-US" w:eastAsia="zh-CN" w:bidi="ar-SA"/>
        </w:rPr>
        <w:t>.4 负荷变形温度</w:t>
      </w:r>
    </w:p>
    <w:p w14:paraId="210842DE">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PVC型及改性PP型拉线保护套的负荷变形温度（1.80MPa弯曲应力）不应低于70℃，GFRP型拉线保护套的负荷变形温度不应低于150℃。</w:t>
      </w:r>
    </w:p>
    <w:p w14:paraId="536ADD67">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5.</w:t>
      </w:r>
      <w:r>
        <w:rPr>
          <w:rFonts w:hint="eastAsia" w:hAnsi="宋体" w:cs="宋体"/>
          <w:sz w:val="21"/>
          <w:lang w:val="en-US" w:eastAsia="zh-CN" w:bidi="ar-SA"/>
        </w:rPr>
        <w:t>3</w:t>
      </w:r>
      <w:r>
        <w:rPr>
          <w:rFonts w:hint="eastAsia" w:ascii="宋体" w:hAnsi="宋体" w:eastAsia="宋体" w:cs="宋体"/>
          <w:sz w:val="21"/>
          <w:lang w:val="en-US" w:eastAsia="zh-CN" w:bidi="ar-SA"/>
        </w:rPr>
        <w:t>.5 常温落锤冲击</w:t>
      </w:r>
    </w:p>
    <w:p w14:paraId="2ECF887A">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拉线保护套</w:t>
      </w:r>
      <w:r>
        <w:rPr>
          <w:rFonts w:hint="eastAsia" w:hAnsi="宋体" w:cs="宋体"/>
          <w:lang w:val="en-US" w:eastAsia="zh-CN"/>
        </w:rPr>
        <w:t>应能</w:t>
      </w:r>
      <w:r>
        <w:rPr>
          <w:rFonts w:hint="eastAsia" w:ascii="宋体" w:hAnsi="宋体" w:eastAsia="宋体" w:cs="宋体"/>
          <w:lang w:val="en-US" w:eastAsia="zh-CN"/>
        </w:rPr>
        <w:t>在23℃±2℃条件下，</w:t>
      </w:r>
      <w:r>
        <w:rPr>
          <w:rFonts w:hint="eastAsia" w:hAnsi="宋体" w:cs="宋体"/>
          <w:lang w:val="en-US" w:eastAsia="zh-CN"/>
        </w:rPr>
        <w:t>承受</w:t>
      </w:r>
      <w:r>
        <w:rPr>
          <w:rFonts w:hint="eastAsia" w:ascii="宋体" w:hAnsi="宋体" w:eastAsia="宋体" w:cs="宋体"/>
          <w:lang w:val="en-US" w:eastAsia="zh-CN"/>
        </w:rPr>
        <w:t>2.0kg落锤、1.0m落高冲击，不出现破裂或贯穿性裂纹。</w:t>
      </w:r>
    </w:p>
    <w:p w14:paraId="33F7FD15">
      <w:pPr>
        <w:pStyle w:val="110"/>
        <w:numPr>
          <w:ilvl w:val="2"/>
          <w:numId w:val="2"/>
        </w:numPr>
        <w:spacing w:before="120" w:after="120"/>
        <w:rPr>
          <w:rFonts w:hint="eastAsia" w:hAnsi="Times New Roman" w:cs="Times New Roman"/>
          <w:lang w:val="en-US" w:eastAsia="zh-CN"/>
        </w:rPr>
      </w:pPr>
      <w:bookmarkStart w:id="107" w:name="_Toc32194"/>
      <w:r>
        <w:rPr>
          <w:rFonts w:hint="eastAsia" w:hAnsi="Times New Roman" w:cs="Times New Roman"/>
          <w:lang w:val="en-US" w:eastAsia="zh-CN"/>
        </w:rPr>
        <w:t>电气绝缘性要求</w:t>
      </w:r>
      <w:bookmarkEnd w:id="107"/>
    </w:p>
    <w:p w14:paraId="5D264340">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5.</w:t>
      </w:r>
      <w:r>
        <w:rPr>
          <w:rFonts w:hint="eastAsia" w:hAnsi="宋体" w:cs="宋体"/>
          <w:sz w:val="21"/>
          <w:lang w:val="en-US" w:eastAsia="zh-CN" w:bidi="ar-SA"/>
        </w:rPr>
        <w:t>4</w:t>
      </w:r>
      <w:r>
        <w:rPr>
          <w:rFonts w:hint="eastAsia" w:ascii="宋体" w:hAnsi="宋体" w:eastAsia="宋体" w:cs="宋体"/>
          <w:sz w:val="21"/>
          <w:lang w:val="en-US" w:eastAsia="zh-CN" w:bidi="ar-SA"/>
        </w:rPr>
        <w:t>.1 电气强度</w:t>
      </w:r>
    </w:p>
    <w:p w14:paraId="29FFAFEB">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PVC型及改性PP型拉线保护套的工频电气强度（击穿场强）不应小于20kV/mm；GFRP型拉线保护套的工频电气强度不应小于15kV/mm。</w:t>
      </w:r>
    </w:p>
    <w:p w14:paraId="156296FD">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5.</w:t>
      </w:r>
      <w:r>
        <w:rPr>
          <w:rFonts w:hint="eastAsia" w:hAnsi="宋体" w:cs="宋体"/>
          <w:sz w:val="21"/>
          <w:lang w:val="en-US" w:eastAsia="zh-CN" w:bidi="ar-SA"/>
        </w:rPr>
        <w:t>4</w:t>
      </w:r>
      <w:r>
        <w:rPr>
          <w:rFonts w:hint="eastAsia" w:ascii="宋体" w:hAnsi="宋体" w:eastAsia="宋体" w:cs="宋体"/>
          <w:sz w:val="21"/>
          <w:lang w:val="en-US" w:eastAsia="zh-CN" w:bidi="ar-SA"/>
        </w:rPr>
        <w:t>.2 绝缘电阻</w:t>
      </w:r>
    </w:p>
    <w:p w14:paraId="31549416">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拉线保护套的体积电阻率不应小于1×</w:t>
      </w:r>
      <w:r>
        <w:rPr>
          <w:rFonts w:hint="eastAsia" w:hAnsi="宋体" w:cs="宋体"/>
          <w:lang w:val="en-US" w:eastAsia="zh-CN"/>
        </w:rPr>
        <w:t>10</w:t>
      </w:r>
      <w:r>
        <w:rPr>
          <w:rFonts w:hint="eastAsia" w:hAnsi="宋体" w:cs="宋体"/>
          <w:vertAlign w:val="superscript"/>
          <w:lang w:val="en-US" w:eastAsia="zh-CN"/>
        </w:rPr>
        <w:t>12</w:t>
      </w:r>
      <w:r>
        <w:rPr>
          <w:rFonts w:hint="eastAsia" w:ascii="宋体" w:hAnsi="宋体" w:eastAsia="宋体" w:cs="宋体"/>
          <w:lang w:val="en-US" w:eastAsia="zh-CN"/>
        </w:rPr>
        <w:t>Ω·</w:t>
      </w:r>
      <w:r>
        <w:rPr>
          <w:rFonts w:hint="eastAsia" w:hAnsi="宋体" w:cs="宋体"/>
          <w:lang w:val="en-US" w:eastAsia="zh-CN"/>
        </w:rPr>
        <w:t>m</w:t>
      </w:r>
      <w:r>
        <w:rPr>
          <w:rFonts w:hint="eastAsia" w:ascii="宋体" w:hAnsi="宋体" w:eastAsia="宋体" w:cs="宋体"/>
          <w:lang w:val="en-US" w:eastAsia="zh-CN"/>
        </w:rPr>
        <w:t>。</w:t>
      </w:r>
    </w:p>
    <w:p w14:paraId="41F6AD35">
      <w:pPr>
        <w:pStyle w:val="110"/>
        <w:numPr>
          <w:ilvl w:val="2"/>
          <w:numId w:val="2"/>
        </w:numPr>
        <w:spacing w:before="120" w:after="120"/>
        <w:rPr>
          <w:rFonts w:hint="eastAsia" w:hAnsi="Times New Roman" w:cs="Times New Roman"/>
          <w:lang w:val="en-US" w:eastAsia="zh-CN"/>
        </w:rPr>
      </w:pPr>
      <w:bookmarkStart w:id="108" w:name="_Toc3840"/>
      <w:r>
        <w:rPr>
          <w:rFonts w:hint="eastAsia" w:hAnsi="Times New Roman" w:cs="Times New Roman"/>
          <w:lang w:val="en-US" w:eastAsia="zh-CN"/>
        </w:rPr>
        <w:t>燃烧性要求</w:t>
      </w:r>
      <w:bookmarkEnd w:id="108"/>
    </w:p>
    <w:p w14:paraId="0F854280">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pPr>
      <w:r>
        <w:rPr>
          <w:rFonts w:hint="eastAsia" w:ascii="宋体" w:hAnsi="宋体" w:eastAsia="宋体" w:cs="宋体"/>
          <w:lang w:val="en-US" w:eastAsia="zh-CN"/>
        </w:rPr>
        <w:t>拉线保护套的燃烧性能应</w:t>
      </w:r>
      <w:r>
        <w:rPr>
          <w:rFonts w:hint="eastAsia" w:hAnsi="宋体" w:cs="宋体"/>
          <w:lang w:val="en-US" w:eastAsia="zh-CN"/>
        </w:rPr>
        <w:t>满足</w:t>
      </w:r>
      <w:r>
        <w:rPr>
          <w:rFonts w:hint="eastAsia" w:ascii="宋体" w:hAnsi="宋体" w:eastAsia="宋体" w:cs="宋体"/>
          <w:lang w:val="en-US" w:eastAsia="zh-CN"/>
        </w:rPr>
        <w:t>GB/T</w:t>
      </w:r>
      <w:r>
        <w:rPr>
          <w:rFonts w:hint="eastAsia" w:hAnsi="宋体" w:cs="宋体"/>
          <w:lang w:val="en-US" w:eastAsia="zh-CN"/>
        </w:rPr>
        <w:t xml:space="preserve"> </w:t>
      </w:r>
      <w:r>
        <w:rPr>
          <w:rFonts w:hint="eastAsia" w:ascii="宋体" w:hAnsi="宋体" w:eastAsia="宋体" w:cs="宋体"/>
          <w:lang w:val="en-US" w:eastAsia="zh-CN"/>
        </w:rPr>
        <w:t>2408中V-1级</w:t>
      </w:r>
      <w:r>
        <w:rPr>
          <w:rFonts w:hint="eastAsia" w:hAnsi="宋体" w:cs="宋体"/>
          <w:lang w:val="en-US" w:eastAsia="zh-CN"/>
        </w:rPr>
        <w:t>及以上</w:t>
      </w:r>
      <w:r>
        <w:rPr>
          <w:rFonts w:hint="eastAsia" w:ascii="宋体" w:hAnsi="宋体" w:eastAsia="宋体" w:cs="宋体"/>
          <w:lang w:val="en-US" w:eastAsia="zh-CN"/>
        </w:rPr>
        <w:t>的要求</w:t>
      </w:r>
      <w:r>
        <w:rPr>
          <w:rFonts w:hint="eastAsia" w:hAnsi="宋体" w:cs="宋体"/>
          <w:lang w:val="en-US" w:eastAsia="zh-CN"/>
        </w:rPr>
        <w:t>。</w:t>
      </w:r>
    </w:p>
    <w:p w14:paraId="49D25E8C">
      <w:pPr>
        <w:pStyle w:val="110"/>
        <w:numPr>
          <w:ilvl w:val="2"/>
          <w:numId w:val="2"/>
        </w:numPr>
        <w:spacing w:before="120" w:after="120"/>
        <w:rPr>
          <w:rFonts w:hint="eastAsia" w:hAnsi="Times New Roman" w:cs="Times New Roman"/>
          <w:lang w:val="en-US" w:eastAsia="zh-CN"/>
        </w:rPr>
      </w:pPr>
      <w:bookmarkStart w:id="109" w:name="_Toc15536"/>
      <w:r>
        <w:rPr>
          <w:rFonts w:hint="eastAsia" w:hAnsi="Times New Roman" w:cs="Times New Roman"/>
          <w:lang w:val="en-US" w:eastAsia="zh-CN"/>
        </w:rPr>
        <w:t>反光警示</w:t>
      </w:r>
      <w:r>
        <w:rPr>
          <w:rFonts w:hint="eastAsia" w:cs="Times New Roman"/>
          <w:lang w:val="en-US" w:eastAsia="zh-CN"/>
        </w:rPr>
        <w:t>膜性能</w:t>
      </w:r>
      <w:r>
        <w:rPr>
          <w:rFonts w:hint="eastAsia" w:hAnsi="Times New Roman" w:cs="Times New Roman"/>
          <w:lang w:val="en-US" w:eastAsia="zh-CN"/>
        </w:rPr>
        <w:t>要求</w:t>
      </w:r>
      <w:bookmarkEnd w:id="109"/>
    </w:p>
    <w:p w14:paraId="5163241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hAnsi="宋体" w:cs="宋体"/>
          <w:i w:val="0"/>
          <w:iCs w:val="0"/>
          <w:caps w:val="0"/>
          <w:color w:val="0F1115"/>
          <w:spacing w:val="0"/>
          <w:sz w:val="21"/>
          <w:szCs w:val="21"/>
          <w:shd w:val="clear" w:fill="FFFFFF"/>
          <w:lang w:eastAsia="zh-CN"/>
        </w:rPr>
      </w:pPr>
      <w:r>
        <w:rPr>
          <w:rFonts w:hint="eastAsia" w:ascii="宋体" w:hAnsi="宋体" w:eastAsia="宋体" w:cs="宋体"/>
          <w:i w:val="0"/>
          <w:iCs w:val="0"/>
          <w:caps w:val="0"/>
          <w:color w:val="0F1115"/>
          <w:spacing w:val="0"/>
          <w:sz w:val="21"/>
          <w:szCs w:val="21"/>
          <w:shd w:val="clear" w:fill="FFFFFF"/>
        </w:rPr>
        <w:t>拉线保护套应具有夜间反光警示功能，粗管段外表面应设置红白或黄黑相间的反光警示色带</w:t>
      </w:r>
      <w:r>
        <w:rPr>
          <w:rFonts w:hint="eastAsia" w:hAnsi="宋体" w:cs="宋体"/>
          <w:i w:val="0"/>
          <w:iCs w:val="0"/>
          <w:caps w:val="0"/>
          <w:color w:val="0F1115"/>
          <w:spacing w:val="0"/>
          <w:sz w:val="21"/>
          <w:szCs w:val="21"/>
          <w:shd w:val="clear" w:fill="FFFFFF"/>
          <w:lang w:eastAsia="zh-CN"/>
        </w:rPr>
        <w:t>：</w:t>
      </w:r>
    </w:p>
    <w:p w14:paraId="0261C3E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hAnsi="宋体" w:eastAsia="宋体" w:cs="宋体"/>
          <w:i w:val="0"/>
          <w:iCs w:val="0"/>
          <w:caps w:val="0"/>
          <w:color w:val="0F1115"/>
          <w:spacing w:val="0"/>
          <w:sz w:val="21"/>
          <w:szCs w:val="21"/>
          <w:shd w:val="clear" w:fill="FFFFFF"/>
          <w:lang w:val="en-US" w:eastAsia="zh-CN"/>
        </w:rPr>
      </w:pPr>
      <w:r>
        <w:rPr>
          <w:rFonts w:hint="eastAsia" w:hAnsi="宋体" w:cs="宋体"/>
          <w:i w:val="0"/>
          <w:iCs w:val="0"/>
          <w:caps w:val="0"/>
          <w:color w:val="0F1115"/>
          <w:spacing w:val="0"/>
          <w:sz w:val="21"/>
          <w:szCs w:val="21"/>
          <w:shd w:val="clear" w:fill="FFFFFF"/>
          <w:lang w:val="en-US" w:eastAsia="zh-CN"/>
        </w:rPr>
        <w:t xml:space="preserve">a) </w:t>
      </w:r>
      <w:r>
        <w:rPr>
          <w:rFonts w:hint="eastAsia" w:ascii="宋体" w:hAnsi="宋体" w:eastAsia="宋体" w:cs="宋体"/>
          <w:i w:val="0"/>
          <w:iCs w:val="0"/>
          <w:caps w:val="0"/>
          <w:color w:val="0F1115"/>
          <w:spacing w:val="0"/>
          <w:sz w:val="21"/>
          <w:szCs w:val="21"/>
          <w:shd w:val="clear" w:fill="FFFFFF"/>
        </w:rPr>
        <w:t>色带宽度宜为50mm～100mm，相邻色带间距宜为50mm～100mm</w:t>
      </w:r>
      <w:r>
        <w:rPr>
          <w:rFonts w:hint="eastAsia" w:hAnsi="宋体" w:cs="宋体"/>
          <w:i w:val="0"/>
          <w:iCs w:val="0"/>
          <w:caps w:val="0"/>
          <w:color w:val="0F1115"/>
          <w:spacing w:val="0"/>
          <w:sz w:val="21"/>
          <w:szCs w:val="21"/>
          <w:shd w:val="clear" w:fill="FFFFFF"/>
          <w:lang w:eastAsia="zh-CN"/>
        </w:rPr>
        <w:t>；</w:t>
      </w:r>
    </w:p>
    <w:p w14:paraId="0D525BC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i w:val="0"/>
          <w:iCs w:val="0"/>
          <w:caps w:val="0"/>
          <w:color w:val="0F1115"/>
          <w:spacing w:val="0"/>
          <w:sz w:val="21"/>
          <w:szCs w:val="21"/>
          <w:shd w:val="clear" w:fill="FFFFFF"/>
        </w:rPr>
      </w:pPr>
      <w:r>
        <w:rPr>
          <w:rFonts w:hint="eastAsia" w:hAnsi="宋体" w:cs="宋体"/>
          <w:i w:val="0"/>
          <w:iCs w:val="0"/>
          <w:caps w:val="0"/>
          <w:color w:val="0F1115"/>
          <w:spacing w:val="0"/>
          <w:sz w:val="21"/>
          <w:szCs w:val="21"/>
          <w:shd w:val="clear" w:fill="FFFFFF"/>
          <w:lang w:val="en-US" w:eastAsia="zh-CN"/>
        </w:rPr>
        <w:t xml:space="preserve">b) </w:t>
      </w:r>
      <w:r>
        <w:rPr>
          <w:rFonts w:hint="eastAsia" w:ascii="宋体" w:hAnsi="宋体" w:eastAsia="宋体" w:cs="宋体"/>
          <w:i w:val="0"/>
          <w:iCs w:val="0"/>
          <w:caps w:val="0"/>
          <w:color w:val="0F1115"/>
          <w:spacing w:val="0"/>
          <w:sz w:val="21"/>
          <w:szCs w:val="21"/>
          <w:shd w:val="clear" w:fill="FFFFFF"/>
        </w:rPr>
        <w:t>色带</w:t>
      </w:r>
      <w:r>
        <w:rPr>
          <w:rFonts w:hint="eastAsia" w:hAnsi="宋体" w:cs="宋体"/>
          <w:i w:val="0"/>
          <w:iCs w:val="0"/>
          <w:caps w:val="0"/>
          <w:color w:val="0F1115"/>
          <w:spacing w:val="0"/>
          <w:sz w:val="21"/>
          <w:szCs w:val="21"/>
          <w:shd w:val="clear" w:fill="FFFFFF"/>
          <w:lang w:val="en-US" w:eastAsia="zh-CN"/>
        </w:rPr>
        <w:t>宜</w:t>
      </w:r>
      <w:r>
        <w:rPr>
          <w:rFonts w:hint="eastAsia" w:ascii="宋体" w:hAnsi="宋体" w:eastAsia="宋体" w:cs="宋体"/>
          <w:i w:val="0"/>
          <w:iCs w:val="0"/>
          <w:caps w:val="0"/>
          <w:color w:val="0F1115"/>
          <w:spacing w:val="0"/>
          <w:sz w:val="21"/>
          <w:szCs w:val="21"/>
          <w:shd w:val="clear" w:fill="FFFFFF"/>
        </w:rPr>
        <w:t>从粗管段下端向上设置，总长度不应小于粗管段全长的2/3，且距地面1.2m～1.8m范围内应完整覆盖；</w:t>
      </w:r>
    </w:p>
    <w:p w14:paraId="5BC3FBE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hAnsi="宋体" w:cs="宋体"/>
          <w:i w:val="0"/>
          <w:iCs w:val="0"/>
          <w:caps w:val="0"/>
          <w:color w:val="0F1115"/>
          <w:spacing w:val="0"/>
          <w:sz w:val="21"/>
          <w:szCs w:val="21"/>
          <w:shd w:val="clear" w:fill="FFFFFF"/>
          <w:lang w:val="en-US" w:eastAsia="zh-CN"/>
        </w:rPr>
        <w:t xml:space="preserve">c) </w:t>
      </w:r>
      <w:r>
        <w:rPr>
          <w:rFonts w:hint="eastAsia" w:ascii="宋体" w:hAnsi="宋体" w:eastAsia="宋体" w:cs="宋体"/>
          <w:i w:val="0"/>
          <w:iCs w:val="0"/>
          <w:caps w:val="0"/>
          <w:color w:val="0F1115"/>
          <w:spacing w:val="0"/>
          <w:sz w:val="21"/>
          <w:szCs w:val="21"/>
          <w:shd w:val="clear" w:fill="FFFFFF"/>
        </w:rPr>
        <w:t>反光膜的逆反射系数（观测角0.2°、入射角5°）不应小于100cd·lx</w:t>
      </w:r>
      <w:r>
        <w:rPr>
          <w:rFonts w:hint="eastAsia" w:ascii="宋体" w:hAnsi="宋体" w:eastAsia="宋体" w:cs="宋体"/>
          <w:i w:val="0"/>
          <w:iCs w:val="0"/>
          <w:caps w:val="0"/>
          <w:color w:val="0F1115"/>
          <w:spacing w:val="0"/>
          <w:sz w:val="21"/>
          <w:szCs w:val="21"/>
          <w:shd w:val="clear" w:fill="FFFFFF"/>
          <w:vertAlign w:val="superscript"/>
          <w:lang w:val="en-US" w:eastAsia="zh-CN"/>
        </w:rPr>
        <w:t>-1</w:t>
      </w:r>
      <w:r>
        <w:rPr>
          <w:rFonts w:hint="eastAsia" w:ascii="宋体" w:hAnsi="宋体" w:eastAsia="宋体" w:cs="宋体"/>
          <w:i w:val="0"/>
          <w:iCs w:val="0"/>
          <w:caps w:val="0"/>
          <w:color w:val="0F1115"/>
          <w:spacing w:val="0"/>
          <w:sz w:val="21"/>
          <w:szCs w:val="21"/>
          <w:shd w:val="clear" w:fill="FFFFFF"/>
        </w:rPr>
        <w:t>·m</w:t>
      </w:r>
      <w:r>
        <w:rPr>
          <w:rFonts w:hint="eastAsia" w:ascii="宋体" w:hAnsi="宋体" w:eastAsia="宋体" w:cs="宋体"/>
          <w:i w:val="0"/>
          <w:iCs w:val="0"/>
          <w:caps w:val="0"/>
          <w:color w:val="0F1115"/>
          <w:spacing w:val="0"/>
          <w:sz w:val="21"/>
          <w:szCs w:val="21"/>
          <w:shd w:val="clear" w:fill="FFFFFF"/>
          <w:vertAlign w:val="superscript"/>
          <w:lang w:val="en-US" w:eastAsia="zh-CN"/>
        </w:rPr>
        <w:t>-2</w:t>
      </w:r>
      <w:r>
        <w:rPr>
          <w:rFonts w:hint="eastAsia" w:hAnsi="宋体" w:cs="宋体"/>
          <w:i w:val="0"/>
          <w:iCs w:val="0"/>
          <w:caps w:val="0"/>
          <w:color w:val="0F1115"/>
          <w:spacing w:val="0"/>
          <w:sz w:val="21"/>
          <w:szCs w:val="21"/>
          <w:shd w:val="clear" w:fill="FFFFFF"/>
          <w:vertAlign w:val="baseline"/>
          <w:lang w:val="en-US" w:eastAsia="zh-CN"/>
        </w:rPr>
        <w:t>。</w:t>
      </w:r>
    </w:p>
    <w:p w14:paraId="3D021DC7">
      <w:pPr>
        <w:pStyle w:val="110"/>
        <w:numPr>
          <w:ilvl w:val="2"/>
          <w:numId w:val="2"/>
        </w:numPr>
        <w:spacing w:before="120" w:after="120"/>
        <w:rPr>
          <w:rFonts w:hint="eastAsia" w:cs="Times New Roman"/>
          <w:lang w:val="en-US" w:eastAsia="zh-CN"/>
        </w:rPr>
      </w:pPr>
      <w:bookmarkStart w:id="110" w:name="_Toc25211"/>
      <w:r>
        <w:rPr>
          <w:rFonts w:hint="eastAsia" w:cs="Times New Roman"/>
          <w:lang w:val="en-US" w:eastAsia="zh-CN"/>
        </w:rPr>
        <w:t>环境适应性要求</w:t>
      </w:r>
      <w:bookmarkEnd w:id="110"/>
    </w:p>
    <w:p w14:paraId="27197B2B">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5.</w:t>
      </w:r>
      <w:r>
        <w:rPr>
          <w:rFonts w:hint="eastAsia" w:hAnsi="宋体" w:cs="宋体"/>
          <w:lang w:val="en-US" w:eastAsia="zh-CN"/>
        </w:rPr>
        <w:t>7</w:t>
      </w:r>
      <w:r>
        <w:rPr>
          <w:rFonts w:hint="eastAsia" w:ascii="宋体" w:hAnsi="宋体" w:eastAsia="宋体" w:cs="宋体"/>
          <w:lang w:val="en-US" w:eastAsia="zh-CN"/>
        </w:rPr>
        <w:t>.1</w:t>
      </w:r>
      <w:r>
        <w:rPr>
          <w:rFonts w:hint="eastAsia" w:hAnsi="宋体" w:cs="宋体"/>
          <w:lang w:val="en-US" w:eastAsia="zh-CN"/>
        </w:rPr>
        <w:t xml:space="preserve"> </w:t>
      </w:r>
      <w:r>
        <w:rPr>
          <w:rFonts w:hint="eastAsia" w:ascii="宋体" w:hAnsi="宋体" w:eastAsia="宋体" w:cs="宋体"/>
          <w:lang w:val="en-US" w:eastAsia="zh-CN"/>
        </w:rPr>
        <w:t>耐低温性能</w:t>
      </w:r>
    </w:p>
    <w:p w14:paraId="1DF89EB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拉线保护套在-40℃±2℃条件下，经24h处理后，取出在标准环境下恢复2h，管材表面不应出现裂纹、断裂及明显的脆性破坏现象。</w:t>
      </w:r>
    </w:p>
    <w:p w14:paraId="0FC1228A">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5.</w:t>
      </w:r>
      <w:r>
        <w:rPr>
          <w:rFonts w:hint="eastAsia" w:hAnsi="宋体" w:cs="宋体"/>
          <w:lang w:val="en-US" w:eastAsia="zh-CN"/>
        </w:rPr>
        <w:t>7</w:t>
      </w:r>
      <w:r>
        <w:rPr>
          <w:rFonts w:hint="eastAsia" w:ascii="宋体" w:hAnsi="宋体" w:eastAsia="宋体" w:cs="宋体"/>
          <w:lang w:val="en-US" w:eastAsia="zh-CN"/>
        </w:rPr>
        <w:t>.2 耐高温性能</w:t>
      </w:r>
    </w:p>
    <w:p w14:paraId="3AF9315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拉线保护套在60℃±2℃条件下，经168h处理后，取出在标准环境下恢复4h，管材不应出现明显变形、褪色、起泡及分层等异常现象。</w:t>
      </w:r>
    </w:p>
    <w:p w14:paraId="6E6732F8">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5.</w:t>
      </w:r>
      <w:r>
        <w:rPr>
          <w:rFonts w:hint="eastAsia" w:hAnsi="宋体" w:cs="宋体"/>
          <w:lang w:val="en-US" w:eastAsia="zh-CN"/>
        </w:rPr>
        <w:t>7</w:t>
      </w:r>
      <w:r>
        <w:rPr>
          <w:rFonts w:hint="eastAsia" w:ascii="宋体" w:hAnsi="宋体" w:eastAsia="宋体" w:cs="宋体"/>
          <w:lang w:val="en-US" w:eastAsia="zh-CN"/>
        </w:rPr>
        <w:t>.3</w:t>
      </w:r>
      <w:r>
        <w:rPr>
          <w:rFonts w:hint="eastAsia" w:hAnsi="宋体" w:cs="宋体"/>
          <w:lang w:val="en-US" w:eastAsia="zh-CN"/>
        </w:rPr>
        <w:t xml:space="preserve"> </w:t>
      </w:r>
      <w:r>
        <w:rPr>
          <w:rFonts w:hint="eastAsia" w:ascii="宋体" w:hAnsi="宋体" w:eastAsia="宋体" w:cs="宋体"/>
          <w:lang w:val="en-US" w:eastAsia="zh-CN"/>
        </w:rPr>
        <w:t>耐老化性能</w:t>
      </w:r>
    </w:p>
    <w:p w14:paraId="06A7277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拉线保护套经氙灯老化试验后，</w:t>
      </w:r>
      <w:r>
        <w:rPr>
          <w:rFonts w:hint="eastAsia" w:hAnsi="宋体" w:cs="宋体"/>
          <w:lang w:val="en-US" w:eastAsia="zh-CN"/>
        </w:rPr>
        <w:t>应满足以下要求：</w:t>
      </w:r>
    </w:p>
    <w:p w14:paraId="732C3065">
      <w:pPr>
        <w:pStyle w:val="61"/>
        <w:numPr>
          <w:ilvl w:val="0"/>
          <w:numId w:val="34"/>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拉伸强度保留率不应小于80%，断裂伸长率保留率不应小于70%；</w:t>
      </w:r>
    </w:p>
    <w:p w14:paraId="213A01AD">
      <w:pPr>
        <w:pStyle w:val="61"/>
        <w:numPr>
          <w:ilvl w:val="0"/>
          <w:numId w:val="34"/>
        </w:numPr>
        <w:rPr>
          <w:rFonts w:hint="eastAsia" w:ascii="宋体" w:hAnsi="宋体" w:eastAsia="宋体" w:cs="宋体"/>
          <w:sz w:val="21"/>
          <w:szCs w:val="21"/>
        </w:rPr>
      </w:pPr>
      <w:r>
        <w:rPr>
          <w:rFonts w:hint="default" w:ascii="宋体" w:hAnsi="宋体" w:eastAsia="宋体" w:cs="宋体"/>
          <w:sz w:val="21"/>
          <w:szCs w:val="21"/>
        </w:rPr>
        <w:t>反光警示膜不应出现明显的褪色、开裂、起泡、脱落或分层等缺陷；</w:t>
      </w:r>
    </w:p>
    <w:p w14:paraId="7C3FA2ED">
      <w:pPr>
        <w:pStyle w:val="61"/>
        <w:numPr>
          <w:ilvl w:val="0"/>
          <w:numId w:val="34"/>
        </w:numPr>
        <w:rPr>
          <w:rFonts w:hint="default" w:ascii="宋体" w:hAnsi="宋体" w:eastAsia="宋体" w:cs="宋体"/>
          <w:sz w:val="21"/>
          <w:szCs w:val="21"/>
          <w:lang w:val="en-US" w:eastAsia="zh-CN"/>
        </w:rPr>
      </w:pPr>
      <w:r>
        <w:rPr>
          <w:rFonts w:hint="default" w:ascii="宋体" w:hAnsi="宋体" w:eastAsia="宋体" w:cs="宋体"/>
          <w:sz w:val="21"/>
          <w:szCs w:val="21"/>
        </w:rPr>
        <w:t>反光警示膜的逆反射系数（观测角0.2°、入射角5°）保留率不应小于初始值的70%。</w:t>
      </w:r>
    </w:p>
    <w:p w14:paraId="589AC037">
      <w:pPr>
        <w:pStyle w:val="109"/>
        <w:keepNext w:val="0"/>
        <w:keepLines w:val="0"/>
        <w:pageBreakBefore w:val="0"/>
        <w:widowControl/>
        <w:numPr>
          <w:ilvl w:val="1"/>
          <w:numId w:val="2"/>
        </w:numPr>
        <w:kinsoku/>
        <w:wordWrap/>
        <w:overflowPunct/>
        <w:topLinePunct w:val="0"/>
        <w:autoSpaceDE/>
        <w:autoSpaceDN/>
        <w:bidi w:val="0"/>
        <w:adjustRightInd/>
        <w:snapToGrid/>
        <w:spacing w:before="313" w:beforeLines="100" w:after="313" w:afterLines="100"/>
        <w:textAlignment w:val="auto"/>
        <w:rPr>
          <w:rFonts w:hint="default"/>
          <w:szCs w:val="21"/>
          <w:lang w:val="en-US" w:eastAsia="zh-CN"/>
        </w:rPr>
      </w:pPr>
      <w:bookmarkStart w:id="111" w:name="_Toc12478"/>
      <w:bookmarkStart w:id="112" w:name="_Toc21037"/>
      <w:r>
        <w:rPr>
          <w:rFonts w:hint="eastAsia"/>
          <w:szCs w:val="21"/>
          <w:lang w:val="en-US" w:eastAsia="zh-CN"/>
        </w:rPr>
        <w:t>试验方法</w:t>
      </w:r>
      <w:bookmarkEnd w:id="111"/>
      <w:bookmarkEnd w:id="112"/>
    </w:p>
    <w:p w14:paraId="63139B37">
      <w:pPr>
        <w:pStyle w:val="110"/>
        <w:numPr>
          <w:ilvl w:val="2"/>
          <w:numId w:val="2"/>
        </w:numPr>
        <w:spacing w:before="120" w:after="120"/>
        <w:rPr>
          <w:rFonts w:hint="default" w:hAnsi="Times New Roman" w:cs="Times New Roman"/>
          <w:lang w:val="en-US" w:eastAsia="zh-CN"/>
        </w:rPr>
      </w:pPr>
      <w:bookmarkStart w:id="113" w:name="_Toc14488"/>
      <w:bookmarkStart w:id="114" w:name="_Toc13317"/>
      <w:r>
        <w:rPr>
          <w:rFonts w:hint="eastAsia" w:hAnsi="Times New Roman" w:cs="Times New Roman"/>
          <w:lang w:val="en-US" w:eastAsia="zh-CN"/>
        </w:rPr>
        <w:t>试验条件</w:t>
      </w:r>
      <w:bookmarkEnd w:id="113"/>
      <w:bookmarkEnd w:id="114"/>
    </w:p>
    <w:p w14:paraId="2B1BDEAC">
      <w:pPr>
        <w:pStyle w:val="61"/>
        <w:ind w:left="420" w:firstLine="0" w:firstLineChars="0"/>
        <w:rPr>
          <w:rFonts w:hint="eastAsia" w:ascii="宋体" w:hAnsi="宋体" w:eastAsia="宋体" w:cs="宋体"/>
          <w:sz w:val="21"/>
          <w:szCs w:val="21"/>
        </w:rPr>
      </w:pPr>
      <w:r>
        <w:rPr>
          <w:rFonts w:hint="eastAsia" w:ascii="宋体" w:hAnsi="宋体" w:eastAsia="宋体" w:cs="宋体"/>
          <w:sz w:val="21"/>
          <w:szCs w:val="21"/>
        </w:rPr>
        <w:t>除另有规定外，所有试验应在以下环境条件下进行：</w:t>
      </w:r>
    </w:p>
    <w:p w14:paraId="3D5BCCDC">
      <w:pPr>
        <w:pStyle w:val="61"/>
        <w:numPr>
          <w:ilvl w:val="0"/>
          <w:numId w:val="35"/>
        </w:numPr>
        <w:rPr>
          <w:rFonts w:hint="eastAsia" w:ascii="宋体" w:hAnsi="宋体" w:eastAsia="宋体" w:cs="宋体"/>
          <w:sz w:val="21"/>
          <w:szCs w:val="21"/>
        </w:rPr>
      </w:pPr>
      <w:r>
        <w:rPr>
          <w:rFonts w:hint="eastAsia" w:ascii="宋体" w:hAnsi="宋体" w:eastAsia="宋体" w:cs="宋体"/>
          <w:sz w:val="21"/>
          <w:szCs w:val="21"/>
        </w:rPr>
        <w:t>环境温度：23℃±2℃；</w:t>
      </w:r>
    </w:p>
    <w:p w14:paraId="12BAE796">
      <w:pPr>
        <w:pStyle w:val="61"/>
        <w:numPr>
          <w:ilvl w:val="0"/>
          <w:numId w:val="35"/>
        </w:numPr>
        <w:rPr>
          <w:rFonts w:hint="eastAsia" w:ascii="宋体" w:hAnsi="宋体" w:eastAsia="宋体" w:cs="宋体"/>
          <w:sz w:val="21"/>
          <w:szCs w:val="21"/>
        </w:rPr>
      </w:pPr>
      <w:r>
        <w:rPr>
          <w:rFonts w:hint="eastAsia" w:ascii="宋体" w:hAnsi="宋体" w:eastAsia="宋体" w:cs="宋体"/>
          <w:sz w:val="21"/>
          <w:szCs w:val="21"/>
        </w:rPr>
        <w:t>相对湿度：</w:t>
      </w:r>
      <w:r>
        <w:rPr>
          <w:rFonts w:hint="eastAsia" w:ascii="宋体" w:hAnsi="宋体" w:eastAsia="宋体" w:cs="宋体"/>
          <w:i w:val="0"/>
          <w:iCs w:val="0"/>
          <w:caps w:val="0"/>
          <w:color w:val="0F1115"/>
          <w:spacing w:val="0"/>
          <w:sz w:val="21"/>
          <w:szCs w:val="21"/>
          <w:shd w:val="clear" w:fill="FFFFFF"/>
        </w:rPr>
        <w:t>50</w:t>
      </w:r>
      <w:r>
        <w:rPr>
          <w:rFonts w:hint="eastAsia" w:ascii="宋体" w:hAnsi="宋体" w:eastAsia="宋体" w:cs="宋体"/>
          <w:i w:val="0"/>
          <w:iCs w:val="0"/>
          <w:caps w:val="0"/>
          <w:color w:val="0F1115"/>
          <w:spacing w:val="0"/>
          <w:sz w:val="21"/>
          <w:szCs w:val="21"/>
          <w:shd w:val="clear" w:fill="FFFFFF"/>
          <w:lang w:val="en-US" w:eastAsia="zh-CN"/>
        </w:rPr>
        <w:t>%</w:t>
      </w:r>
      <w:r>
        <w:rPr>
          <w:rFonts w:hint="eastAsia" w:ascii="宋体" w:hAnsi="宋体" w:eastAsia="宋体" w:cs="宋体"/>
          <w:i w:val="0"/>
          <w:iCs w:val="0"/>
          <w:caps w:val="0"/>
          <w:color w:val="0F1115"/>
          <w:spacing w:val="0"/>
          <w:sz w:val="21"/>
          <w:szCs w:val="21"/>
          <w:shd w:val="clear" w:fill="FFFFFF"/>
        </w:rPr>
        <w:t>±10</w:t>
      </w:r>
      <w:r>
        <w:rPr>
          <w:rFonts w:hint="eastAsia" w:ascii="宋体" w:hAnsi="宋体" w:eastAsia="宋体" w:cs="宋体"/>
          <w:i w:val="0"/>
          <w:iCs w:val="0"/>
          <w:caps w:val="0"/>
          <w:color w:val="0F1115"/>
          <w:spacing w:val="0"/>
          <w:sz w:val="21"/>
          <w:szCs w:val="21"/>
          <w:shd w:val="clear" w:fill="FFFFFF"/>
          <w:lang w:val="en-US" w:eastAsia="zh-CN"/>
        </w:rPr>
        <w:t>%</w:t>
      </w:r>
      <w:r>
        <w:rPr>
          <w:rFonts w:hint="eastAsia" w:hAnsi="宋体" w:cs="宋体"/>
          <w:i w:val="0"/>
          <w:iCs w:val="0"/>
          <w:caps w:val="0"/>
          <w:color w:val="0F1115"/>
          <w:spacing w:val="0"/>
          <w:sz w:val="21"/>
          <w:szCs w:val="21"/>
          <w:shd w:val="clear" w:fill="FFFFFF"/>
          <w:lang w:val="en-US" w:eastAsia="zh-CN"/>
        </w:rPr>
        <w:t>；</w:t>
      </w:r>
    </w:p>
    <w:p w14:paraId="154FEAAF">
      <w:pPr>
        <w:pStyle w:val="61"/>
        <w:numPr>
          <w:ilvl w:val="0"/>
          <w:numId w:val="35"/>
        </w:numPr>
        <w:rPr>
          <w:rFonts w:hint="eastAsia" w:ascii="宋体" w:hAnsi="宋体" w:eastAsia="宋体" w:cs="宋体"/>
          <w:sz w:val="21"/>
          <w:szCs w:val="21"/>
        </w:rPr>
      </w:pPr>
      <w:r>
        <w:rPr>
          <w:rFonts w:hint="eastAsia" w:hAnsi="宋体" w:cs="宋体"/>
          <w:i w:val="0"/>
          <w:iCs w:val="0"/>
          <w:caps w:val="0"/>
          <w:color w:val="0F1115"/>
          <w:spacing w:val="0"/>
          <w:sz w:val="21"/>
          <w:szCs w:val="21"/>
          <w:shd w:val="clear" w:fill="FFFFFF"/>
          <w:lang w:val="en-US" w:eastAsia="zh-CN"/>
        </w:rPr>
        <w:t>状态调节时间：不小于24h。</w:t>
      </w:r>
    </w:p>
    <w:p w14:paraId="5DE21676">
      <w:pPr>
        <w:pStyle w:val="110"/>
        <w:numPr>
          <w:ilvl w:val="2"/>
          <w:numId w:val="2"/>
        </w:numPr>
        <w:spacing w:before="120" w:after="120"/>
        <w:rPr>
          <w:rFonts w:hint="default"/>
          <w:lang w:val="en-US" w:eastAsia="zh-CN"/>
        </w:rPr>
      </w:pPr>
      <w:bookmarkStart w:id="115" w:name="_Toc2861"/>
      <w:r>
        <w:rPr>
          <w:rFonts w:hint="eastAsia" w:hAnsi="Times New Roman" w:cs="Times New Roman"/>
          <w:lang w:val="en-US" w:eastAsia="zh-CN"/>
        </w:rPr>
        <w:t>外观与</w:t>
      </w:r>
      <w:r>
        <w:rPr>
          <w:rFonts w:hint="eastAsia" w:cs="Times New Roman"/>
          <w:lang w:val="en-US" w:eastAsia="zh-CN"/>
        </w:rPr>
        <w:t>尺寸</w:t>
      </w:r>
      <w:r>
        <w:rPr>
          <w:rFonts w:hint="eastAsia" w:hAnsi="Times New Roman" w:cs="Times New Roman"/>
          <w:lang w:val="en-US" w:eastAsia="zh-CN"/>
        </w:rPr>
        <w:t>试验</w:t>
      </w:r>
      <w:bookmarkEnd w:id="115"/>
    </w:p>
    <w:p w14:paraId="29F06FA2">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6.2.1 外观检测试验</w:t>
      </w:r>
    </w:p>
    <w:p w14:paraId="0355552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hAnsi="宋体" w:cs="宋体"/>
          <w:lang w:val="en-US" w:eastAsia="zh-CN"/>
        </w:rPr>
        <w:t>应按以下规定进行：</w:t>
      </w:r>
    </w:p>
    <w:p w14:paraId="47BC93F7">
      <w:pPr>
        <w:pStyle w:val="61"/>
        <w:numPr>
          <w:ilvl w:val="0"/>
          <w:numId w:val="36"/>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在自然光或照度不低于300lx的光源下，以距试样300mm～500mm的距离目视检查拉线保护套的内外表面与开口边缘，并使用手触摸检查有无毛刺及尖锐凸起；</w:t>
      </w:r>
    </w:p>
    <w:p w14:paraId="45E388D1">
      <w:pPr>
        <w:pStyle w:val="61"/>
        <w:numPr>
          <w:ilvl w:val="0"/>
          <w:numId w:val="36"/>
        </w:numPr>
        <w:rPr>
          <w:rFonts w:hint="eastAsia" w:ascii="宋体" w:hAnsi="宋体" w:eastAsia="宋体" w:cs="宋体"/>
          <w:sz w:val="21"/>
          <w:szCs w:val="21"/>
          <w:lang w:val="en-US" w:eastAsia="zh-CN"/>
        </w:rPr>
      </w:pPr>
      <w:r>
        <w:rPr>
          <w:rFonts w:hint="eastAsia" w:ascii="宋体" w:hAnsi="宋体" w:eastAsia="宋体" w:cs="宋体"/>
          <w:sz w:val="21"/>
          <w:szCs w:val="21"/>
        </w:rPr>
        <w:t>使用精度不低于1mm的钢直尺测量粗管段与细管段过渡区长度</w:t>
      </w:r>
      <w:r>
        <w:rPr>
          <w:rFonts w:hint="eastAsia" w:ascii="宋体" w:hAnsi="宋体" w:eastAsia="宋体" w:cs="宋体"/>
          <w:sz w:val="21"/>
          <w:szCs w:val="21"/>
          <w:lang w:eastAsia="zh-CN"/>
        </w:rPr>
        <w:t>。</w:t>
      </w:r>
    </w:p>
    <w:p w14:paraId="0E146747">
      <w:pPr>
        <w:pStyle w:val="61"/>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6.2.2 尺寸检测试验</w:t>
      </w:r>
    </w:p>
    <w:p w14:paraId="167FF007">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i w:val="0"/>
          <w:iCs w:val="0"/>
          <w:caps w:val="0"/>
          <w:color w:val="0F1115"/>
          <w:spacing w:val="0"/>
          <w:sz w:val="21"/>
          <w:szCs w:val="21"/>
          <w:shd w:val="clear" w:fill="FFFFFF"/>
          <w:lang w:val="en-US" w:eastAsia="zh-CN"/>
        </w:rPr>
        <w:t>应按</w:t>
      </w:r>
      <w:r>
        <w:rPr>
          <w:rFonts w:hint="eastAsia" w:ascii="宋体" w:hAnsi="宋体" w:eastAsia="宋体" w:cs="宋体"/>
          <w:i w:val="0"/>
          <w:iCs w:val="0"/>
          <w:caps w:val="0"/>
          <w:color w:val="0F1115"/>
          <w:spacing w:val="0"/>
          <w:sz w:val="21"/>
          <w:szCs w:val="21"/>
          <w:shd w:val="clear" w:fill="FFFFFF"/>
        </w:rPr>
        <w:t>GB/T 8806</w:t>
      </w:r>
      <w:r>
        <w:rPr>
          <w:rFonts w:hint="eastAsia" w:ascii="宋体" w:hAnsi="宋体" w:eastAsia="宋体" w:cs="宋体"/>
          <w:i w:val="0"/>
          <w:iCs w:val="0"/>
          <w:caps w:val="0"/>
          <w:color w:val="0F1115"/>
          <w:spacing w:val="0"/>
          <w:sz w:val="21"/>
          <w:szCs w:val="21"/>
          <w:shd w:val="clear" w:fill="FFFFFF"/>
          <w:lang w:val="en-US" w:eastAsia="zh-CN"/>
        </w:rPr>
        <w:t>规定的方法执行。</w:t>
      </w:r>
    </w:p>
    <w:p w14:paraId="26775496">
      <w:pPr>
        <w:pStyle w:val="110"/>
        <w:numPr>
          <w:ilvl w:val="2"/>
          <w:numId w:val="2"/>
        </w:numPr>
        <w:spacing w:before="120" w:after="120"/>
        <w:rPr>
          <w:rFonts w:hint="eastAsia" w:hAnsi="Times New Roman" w:cs="Times New Roman"/>
          <w:lang w:val="en-US" w:eastAsia="zh-CN"/>
        </w:rPr>
      </w:pPr>
      <w:bookmarkStart w:id="116" w:name="_Toc8495"/>
      <w:r>
        <w:rPr>
          <w:rFonts w:hint="eastAsia" w:cs="Times New Roman"/>
          <w:lang w:val="en-US" w:eastAsia="zh-CN"/>
        </w:rPr>
        <w:t>物理机械性能试验</w:t>
      </w:r>
      <w:bookmarkEnd w:id="116"/>
    </w:p>
    <w:p w14:paraId="691FBC23">
      <w:pPr>
        <w:pStyle w:val="61"/>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6.</w:t>
      </w:r>
      <w:r>
        <w:rPr>
          <w:rFonts w:hint="eastAsia" w:hAnsi="宋体" w:cs="宋体"/>
          <w:lang w:val="en-US" w:eastAsia="zh-CN"/>
        </w:rPr>
        <w:t>3</w:t>
      </w:r>
      <w:r>
        <w:rPr>
          <w:rFonts w:hint="eastAsia" w:ascii="宋体" w:hAnsi="宋体" w:eastAsia="宋体" w:cs="宋体"/>
          <w:lang w:val="en-US" w:eastAsia="zh-CN"/>
        </w:rPr>
        <w:t>.1</w:t>
      </w:r>
      <w:r>
        <w:rPr>
          <w:rFonts w:hint="eastAsia" w:hAnsi="宋体" w:cs="宋体"/>
          <w:lang w:val="en-US" w:eastAsia="zh-CN"/>
        </w:rPr>
        <w:t xml:space="preserve"> 拉伸性能试验</w:t>
      </w:r>
    </w:p>
    <w:p w14:paraId="49AF1CB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i w:val="0"/>
          <w:iCs w:val="0"/>
          <w:caps w:val="0"/>
          <w:color w:val="0F1115"/>
          <w:spacing w:val="0"/>
          <w:sz w:val="21"/>
          <w:szCs w:val="21"/>
          <w:shd w:val="clear" w:fill="FFFFFF"/>
          <w:lang w:eastAsia="zh-CN"/>
        </w:rPr>
      </w:pPr>
      <w:r>
        <w:rPr>
          <w:rFonts w:hint="eastAsia" w:hAnsi="宋体" w:cs="宋体"/>
          <w:i w:val="0"/>
          <w:iCs w:val="0"/>
          <w:caps w:val="0"/>
          <w:color w:val="0F1115"/>
          <w:spacing w:val="0"/>
          <w:sz w:val="21"/>
          <w:szCs w:val="21"/>
          <w:shd w:val="clear" w:fill="FFFFFF"/>
          <w:lang w:val="en-US" w:eastAsia="zh-CN"/>
        </w:rPr>
        <w:t>应</w:t>
      </w:r>
      <w:r>
        <w:rPr>
          <w:rFonts w:hint="eastAsia" w:ascii="宋体" w:hAnsi="宋体" w:eastAsia="宋体" w:cs="宋体"/>
          <w:i w:val="0"/>
          <w:iCs w:val="0"/>
          <w:caps w:val="0"/>
          <w:color w:val="0F1115"/>
          <w:spacing w:val="0"/>
          <w:sz w:val="21"/>
          <w:szCs w:val="21"/>
          <w:shd w:val="clear" w:fill="FFFFFF"/>
        </w:rPr>
        <w:t>按GB/T 8804.2的规定</w:t>
      </w:r>
      <w:r>
        <w:rPr>
          <w:rFonts w:hint="eastAsia" w:hAnsi="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t>从粗管段和细管段管壁上沿轴向分别截取哑铃型（Ⅰ型）试样，每组不少于5个</w:t>
      </w:r>
      <w:r>
        <w:rPr>
          <w:rFonts w:hint="eastAsia" w:hAnsi="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t>取每组5个有效试样的算术平均值作为试验结果</w:t>
      </w:r>
      <w:r>
        <w:rPr>
          <w:rFonts w:hint="eastAsia" w:hAnsi="宋体" w:cs="宋体"/>
          <w:i w:val="0"/>
          <w:iCs w:val="0"/>
          <w:caps w:val="0"/>
          <w:color w:val="0F1115"/>
          <w:spacing w:val="0"/>
          <w:sz w:val="21"/>
          <w:szCs w:val="21"/>
          <w:shd w:val="clear" w:fill="FFFFFF"/>
          <w:lang w:eastAsia="zh-CN"/>
        </w:rPr>
        <w:t>，</w:t>
      </w:r>
      <w:r>
        <w:rPr>
          <w:rFonts w:hint="eastAsia" w:hAnsi="宋体" w:cs="宋体"/>
          <w:color w:val="0F1115"/>
          <w:szCs w:val="21"/>
          <w:shd w:val="clear" w:color="auto" w:fill="FFFFFF"/>
        </w:rPr>
        <w:t>拉伸强度</w:t>
      </w:r>
      <m:oMath>
        <m:r>
          <m:rPr/>
          <w:rPr>
            <w:rFonts w:ascii="Cambria Math" w:hAnsi="Cambria Math" w:cs="Cambria Math"/>
          </w:rPr>
          <m:t>σ</m:t>
        </m:r>
      </m:oMath>
      <w:r>
        <w:rPr>
          <w:rFonts w:hint="eastAsia" w:ascii="宋体" w:hAnsi="宋体" w:eastAsia="宋体" w:cs="宋体"/>
          <w:i w:val="0"/>
          <w:iCs w:val="0"/>
          <w:caps w:val="0"/>
          <w:color w:val="0F1115"/>
          <w:spacing w:val="0"/>
          <w:sz w:val="21"/>
          <w:szCs w:val="21"/>
          <w:shd w:val="clear" w:fill="FFFFFF"/>
        </w:rPr>
        <w:t>按式（1）计算</w:t>
      </w:r>
      <w:r>
        <w:rPr>
          <w:rFonts w:hint="eastAsia" w:hAnsi="宋体" w:cs="宋体"/>
          <w:i w:val="0"/>
          <w:iCs w:val="0"/>
          <w:caps w:val="0"/>
          <w:color w:val="0F1115"/>
          <w:spacing w:val="0"/>
          <w:sz w:val="21"/>
          <w:szCs w:val="21"/>
          <w:shd w:val="clear" w:fill="FFFFFF"/>
          <w:lang w:eastAsia="zh-CN"/>
        </w:rPr>
        <w:t>：</w:t>
      </w:r>
    </w:p>
    <w:p w14:paraId="542F4B71">
      <w:pPr>
        <w:pStyle w:val="61"/>
        <w:tabs>
          <w:tab w:val="center" w:pos="1537"/>
        </w:tabs>
        <w:ind w:firstLine="0" w:firstLineChars="0"/>
        <w:rPr>
          <w:rFonts w:hAnsi="Cambria Math" w:cs="Cambria Math"/>
        </w:rPr>
      </w:pPr>
      <m:oMathPara>
        <m:oMathParaPr>
          <m:jc m:val="center"/>
        </m:oMathParaPr>
        <m:oMath>
          <m:eqArr>
            <m:eqArrPr>
              <m:maxDist m:val="1"/>
              <m:ctrlPr>
                <w:rPr>
                  <w:rFonts w:ascii="Cambria Math" w:hAnsi="Cambria Math" w:cs="Cambria Math"/>
                  <w:i/>
                </w:rPr>
              </m:ctrlPr>
            </m:eqArrPr>
            <m:e>
              <m:r>
                <m:rPr/>
                <w:rPr>
                  <w:rFonts w:ascii="Cambria Math" w:hAnsi="Cambria Math" w:cs="Cambria Math"/>
                </w:rPr>
                <m:t>σ=</m:t>
              </m:r>
              <m:f>
                <m:fPr>
                  <m:ctrlPr>
                    <w:rPr>
                      <w:rFonts w:ascii="Cambria Math" w:hAnsi="Cambria Math" w:cs="Cambria Math"/>
                      <w:i/>
                      <w:iCs/>
                    </w:rPr>
                  </m:ctrlPr>
                </m:fPr>
                <m:num>
                  <m:sSub>
                    <m:sSubPr>
                      <m:ctrlPr>
                        <w:rPr>
                          <w:rFonts w:ascii="Cambria Math" w:hAnsi="Cambria Math" w:cs="Cambria Math"/>
                          <w:i/>
                          <w:iCs/>
                        </w:rPr>
                      </m:ctrlPr>
                    </m:sSubPr>
                    <m:e>
                      <m:r>
                        <m:rPr/>
                        <w:rPr>
                          <w:rFonts w:hint="default" w:ascii="Cambria Math" w:hAnsi="Cambria Math" w:cs="Cambria Math"/>
                          <w:lang w:val="en-US" w:eastAsia="zh-CN"/>
                        </w:rPr>
                        <m:t>F</m:t>
                      </m:r>
                      <m:ctrlPr>
                        <w:rPr>
                          <w:rFonts w:ascii="Cambria Math" w:hAnsi="Cambria Math" w:cs="Cambria Math"/>
                          <w:i/>
                          <w:iCs/>
                        </w:rPr>
                      </m:ctrlPr>
                    </m:e>
                    <m:sub>
                      <m:r>
                        <m:rPr/>
                        <w:rPr>
                          <w:rFonts w:hint="default" w:ascii="Cambria Math" w:hAnsi="Cambria Math" w:cs="Cambria Math"/>
                          <w:lang w:val="en-US" w:eastAsia="zh-CN"/>
                        </w:rPr>
                        <m:t>max</m:t>
                      </m:r>
                      <m:ctrlPr>
                        <w:rPr>
                          <w:rFonts w:ascii="Cambria Math" w:hAnsi="Cambria Math" w:cs="Cambria Math"/>
                          <w:i/>
                          <w:iCs/>
                        </w:rPr>
                      </m:ctrlPr>
                    </m:sub>
                  </m:sSub>
                  <m:ctrlPr>
                    <w:rPr>
                      <w:rFonts w:ascii="Cambria Math" w:hAnsi="Cambria Math" w:cs="Cambria Math"/>
                      <w:i/>
                      <w:iCs/>
                    </w:rPr>
                  </m:ctrlPr>
                </m:num>
                <m:den>
                  <m:r>
                    <m:rPr/>
                    <w:rPr>
                      <w:rFonts w:hint="default" w:ascii="Cambria Math" w:hAnsi="Cambria Math" w:cs="Cambria Math"/>
                      <w:lang w:val="en-US" w:eastAsia="zh-CN"/>
                    </w:rPr>
                    <m:t>A</m:t>
                  </m:r>
                  <m:ctrlPr>
                    <w:rPr>
                      <w:rFonts w:ascii="Cambria Math" w:hAnsi="Cambria Math" w:cs="Cambria Math"/>
                      <w:i/>
                      <w:iCs/>
                    </w:rPr>
                  </m:ctrlPr>
                </m:den>
              </m:f>
              <m:r>
                <m:rPr>
                  <m:sty m:val="p"/>
                </m:rPr>
                <w:rPr>
                  <w:rFonts w:ascii="Cambria Math" w:hAnsi="Cambria Math" w:cs="Cambria Math"/>
                </w:rPr>
                <m:t>#</m:t>
              </m:r>
              <m:r>
                <m:rPr>
                  <m:sty m:val="p"/>
                </m:rPr>
                <w:rPr>
                  <w:rFonts w:hint="eastAsia" w:ascii="Cambria Math" w:hAnsi="Cambria Math" w:cs="Cambria Math"/>
                </w:rPr>
                <m:t>·····················（</m:t>
              </m:r>
              <m:r>
                <m:rPr>
                  <m:sty m:val="p"/>
                </m:rPr>
                <w:rPr>
                  <w:rFonts w:ascii="Cambria Math" w:hAnsi="Cambria Math" w:cs="Cambria Math"/>
                </w:rPr>
                <m:t>1</m:t>
              </m:r>
              <m:r>
                <m:rPr>
                  <m:sty m:val="p"/>
                </m:rPr>
                <w:rPr>
                  <w:rFonts w:hint="eastAsia" w:ascii="Cambria Math" w:hAnsi="Cambria Math" w:cs="Cambria Math"/>
                </w:rPr>
                <m:t>）</m:t>
              </m:r>
              <m:ctrlPr>
                <w:rPr>
                  <w:rFonts w:ascii="Cambria Math" w:hAnsi="Cambria Math" w:cs="Cambria Math"/>
                  <w:i/>
                </w:rPr>
              </m:ctrlPr>
            </m:e>
          </m:eqArr>
        </m:oMath>
      </m:oMathPara>
    </w:p>
    <w:p w14:paraId="356E1348">
      <w:pPr>
        <w:pStyle w:val="61"/>
        <w:rPr>
          <w:rFonts w:hAnsi="Cambria Math" w:cs="Cambria Math"/>
        </w:rPr>
      </w:pPr>
      <w:r>
        <w:rPr>
          <w:rFonts w:hint="eastAsia" w:hAnsi="Cambria Math" w:cs="Cambria Math"/>
        </w:rPr>
        <w:t>式中：</w:t>
      </w:r>
    </w:p>
    <w:p w14:paraId="5AE673D7">
      <w:pPr>
        <w:pStyle w:val="61"/>
        <w:rPr>
          <w:rFonts w:hAnsi="Cambria Math" w:cs="Cambria Math"/>
        </w:rPr>
      </w:pPr>
      <m:oMath>
        <m:r>
          <m:rPr/>
          <w:rPr>
            <w:rFonts w:ascii="Cambria Math" w:hAnsi="Cambria Math" w:cs="Cambria Math"/>
          </w:rPr>
          <m:t>σ</m:t>
        </m:r>
      </m:oMath>
      <w:r>
        <w:rPr>
          <w:rFonts w:hint="eastAsia" w:hAnsi="宋体" w:cs="宋体"/>
          <w:color w:val="0F1115"/>
          <w:szCs w:val="21"/>
          <w:shd w:val="clear" w:color="auto" w:fill="FFFFFF"/>
        </w:rPr>
        <w:t>——拉伸强度，</w:t>
      </w:r>
      <w:r>
        <w:rPr>
          <w:rFonts w:hint="eastAsia" w:hAnsi="宋体" w:cs="宋体"/>
          <w:color w:val="0F1115"/>
          <w:szCs w:val="21"/>
          <w:shd w:val="clear" w:color="auto" w:fill="FFFFFF"/>
          <w:lang w:val="en-US" w:eastAsia="zh-CN"/>
        </w:rPr>
        <w:t>单位为兆帕（</w:t>
      </w:r>
      <w:r>
        <w:rPr>
          <w:rFonts w:hint="eastAsia" w:hAnsi="宋体" w:cs="宋体"/>
          <w:color w:val="0F1115"/>
          <w:szCs w:val="21"/>
          <w:shd w:val="clear" w:color="auto" w:fill="FFFFFF"/>
        </w:rPr>
        <w:t>MPa</w:t>
      </w:r>
      <w:r>
        <w:rPr>
          <w:rFonts w:hint="eastAsia" w:hAnsi="宋体" w:cs="宋体"/>
          <w:color w:val="0F1115"/>
          <w:szCs w:val="21"/>
          <w:shd w:val="clear" w:color="auto" w:fill="FFFFFF"/>
          <w:lang w:eastAsia="zh-CN"/>
        </w:rPr>
        <w:t>）</w:t>
      </w:r>
      <w:r>
        <w:rPr>
          <w:rFonts w:hint="eastAsia" w:hAnsi="宋体" w:cs="宋体"/>
          <w:color w:val="0F1115"/>
          <w:szCs w:val="21"/>
          <w:shd w:val="clear" w:color="auto" w:fill="FFFFFF"/>
        </w:rPr>
        <w:t>；</w:t>
      </w:r>
    </w:p>
    <w:p w14:paraId="55F6F245">
      <w:pPr>
        <w:pStyle w:val="61"/>
        <w:rPr>
          <w:rFonts w:hAnsi="Cambria Math" w:cs="Cambria Math"/>
        </w:rPr>
      </w:pPr>
      <m:oMath>
        <m:sSub>
          <m:sSubPr>
            <m:ctrlPr>
              <w:rPr>
                <w:rFonts w:ascii="Cambria Math" w:hAnsi="Cambria Math" w:cs="Cambria Math"/>
                <w:i/>
                <w:iCs/>
              </w:rPr>
            </m:ctrlPr>
          </m:sSubPr>
          <m:e>
            <m:r>
              <m:rPr/>
              <w:rPr>
                <w:rFonts w:hint="default" w:ascii="Cambria Math" w:hAnsi="Cambria Math" w:cs="Cambria Math"/>
                <w:lang w:val="en-US" w:eastAsia="zh-CN"/>
              </w:rPr>
              <m:t>F</m:t>
            </m:r>
            <m:ctrlPr>
              <w:rPr>
                <w:rFonts w:ascii="Cambria Math" w:hAnsi="Cambria Math" w:cs="Cambria Math"/>
                <w:i/>
                <w:iCs/>
              </w:rPr>
            </m:ctrlPr>
          </m:e>
          <m:sub>
            <m:r>
              <m:rPr/>
              <w:rPr>
                <w:rFonts w:hint="default" w:ascii="Cambria Math" w:hAnsi="Cambria Math" w:cs="Cambria Math"/>
                <w:lang w:val="en-US" w:eastAsia="zh-CN"/>
              </w:rPr>
              <m:t>max</m:t>
            </m:r>
            <m:ctrlPr>
              <w:rPr>
                <w:rFonts w:ascii="Cambria Math" w:hAnsi="Cambria Math" w:cs="Cambria Math"/>
                <w:i/>
                <w:iCs/>
              </w:rPr>
            </m:ctrlPr>
          </m:sub>
        </m:sSub>
      </m:oMath>
      <w:r>
        <w:rPr>
          <w:rFonts w:hint="eastAsia" w:hAnsi="宋体" w:cs="宋体"/>
          <w:color w:val="0F1115"/>
          <w:szCs w:val="21"/>
          <w:shd w:val="clear" w:color="auto" w:fill="FFFFFF"/>
        </w:rPr>
        <w:t>——最大拉伸载荷</w:t>
      </w:r>
      <w:r>
        <w:rPr>
          <w:rFonts w:hint="eastAsia" w:hAnsi="宋体" w:cs="宋体"/>
          <w:color w:val="0F1115"/>
          <w:szCs w:val="21"/>
          <w:highlight w:val="none"/>
          <w:shd w:val="clear" w:color="auto" w:fill="FFFFFF"/>
        </w:rPr>
        <w:t>，</w:t>
      </w:r>
      <w:r>
        <w:rPr>
          <w:rFonts w:hint="eastAsia" w:hAnsi="宋体" w:cs="宋体"/>
          <w:color w:val="0F1115"/>
          <w:szCs w:val="21"/>
          <w:shd w:val="clear" w:color="auto" w:fill="FFFFFF"/>
          <w:lang w:val="en-US" w:eastAsia="zh-CN"/>
        </w:rPr>
        <w:t>单位为牛（</w:t>
      </w:r>
      <w:r>
        <w:rPr>
          <w:rFonts w:hint="eastAsia" w:hAnsi="宋体" w:cs="宋体"/>
          <w:color w:val="0F1115"/>
          <w:szCs w:val="21"/>
          <w:highlight w:val="none"/>
          <w:shd w:val="clear" w:color="auto" w:fill="FFFFFF"/>
        </w:rPr>
        <w:t>N</w:t>
      </w:r>
      <w:r>
        <w:rPr>
          <w:rFonts w:hint="eastAsia" w:hAnsi="宋体" w:cs="宋体"/>
          <w:color w:val="0F1115"/>
          <w:szCs w:val="21"/>
          <w:highlight w:val="none"/>
          <w:shd w:val="clear" w:color="auto" w:fill="FFFFFF"/>
          <w:lang w:eastAsia="zh-CN"/>
        </w:rPr>
        <w:t>）</w:t>
      </w:r>
      <w:r>
        <w:rPr>
          <w:rFonts w:hint="eastAsia" w:hAnsi="宋体" w:cs="宋体"/>
          <w:color w:val="0F1115"/>
          <w:szCs w:val="21"/>
          <w:highlight w:val="none"/>
          <w:shd w:val="clear" w:color="auto" w:fill="FFFFFF"/>
        </w:rPr>
        <w:t>；</w:t>
      </w:r>
    </w:p>
    <w:p w14:paraId="570754B6">
      <w:pPr>
        <w:pStyle w:val="61"/>
        <w:rPr>
          <w:rFonts w:hint="eastAsia" w:ascii="宋体" w:hAnsi="宋体" w:eastAsia="宋体" w:cs="宋体"/>
          <w:i w:val="0"/>
          <w:iCs w:val="0"/>
          <w:caps w:val="0"/>
          <w:color w:val="0F1115"/>
          <w:spacing w:val="0"/>
          <w:sz w:val="21"/>
          <w:szCs w:val="21"/>
          <w:shd w:val="clear" w:fill="FFFFFF"/>
          <w:lang w:val="en-US" w:eastAsia="zh-CN"/>
        </w:rPr>
      </w:pPr>
      <m:oMath>
        <m:r>
          <m:rPr/>
          <w:rPr>
            <w:rFonts w:hint="default" w:ascii="Cambria Math" w:hAnsi="Cambria Math" w:cs="Cambria Math"/>
            <w:lang w:val="en-US" w:eastAsia="zh-CN"/>
          </w:rPr>
          <m:t>A</m:t>
        </m:r>
      </m:oMath>
      <w:r>
        <w:rPr>
          <w:rFonts w:hint="eastAsia" w:hAnsi="宋体" w:cs="宋体"/>
          <w:color w:val="0F1115"/>
          <w:szCs w:val="21"/>
          <w:shd w:val="clear" w:color="auto" w:fill="FFFFFF"/>
        </w:rPr>
        <w:t>——试样初始横截面积，</w:t>
      </w:r>
      <w:r>
        <w:rPr>
          <w:rFonts w:hint="eastAsia" w:hAnsi="宋体" w:cs="宋体"/>
          <w:color w:val="0F1115"/>
          <w:szCs w:val="21"/>
          <w:shd w:val="clear" w:color="auto" w:fill="FFFFFF"/>
          <w:lang w:val="en-US" w:eastAsia="zh-CN"/>
        </w:rPr>
        <w:t>单位为平方毫米（</w:t>
      </w:r>
      <w:r>
        <w:rPr>
          <w:rFonts w:hint="eastAsia" w:hAnsi="宋体" w:cs="宋体"/>
          <w:color w:val="0F1115"/>
          <w:szCs w:val="21"/>
          <w:shd w:val="clear" w:color="auto" w:fill="FFFFFF"/>
        </w:rPr>
        <w:t>mm²</w:t>
      </w:r>
      <w:r>
        <w:rPr>
          <w:rFonts w:hint="eastAsia" w:hAnsi="宋体" w:cs="宋体"/>
          <w:color w:val="0F1115"/>
          <w:szCs w:val="21"/>
          <w:shd w:val="clear" w:color="auto" w:fill="FFFFFF"/>
          <w:lang w:eastAsia="zh-CN"/>
        </w:rPr>
        <w:t>）</w:t>
      </w:r>
      <w:r>
        <w:rPr>
          <w:rFonts w:hint="eastAsia" w:hAnsi="宋体" w:cs="宋体"/>
          <w:color w:val="0F1115"/>
          <w:szCs w:val="21"/>
          <w:shd w:val="clear" w:color="auto" w:fill="FFFFFF"/>
        </w:rPr>
        <w:t>。</w:t>
      </w:r>
    </w:p>
    <w:p w14:paraId="1FCB6CEC">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6.</w:t>
      </w:r>
      <w:r>
        <w:rPr>
          <w:rFonts w:hint="eastAsia" w:hAnsi="宋体" w:cs="宋体"/>
          <w:lang w:val="en-US" w:eastAsia="zh-CN"/>
        </w:rPr>
        <w:t>3</w:t>
      </w:r>
      <w:r>
        <w:rPr>
          <w:rFonts w:hint="eastAsia" w:ascii="宋体" w:hAnsi="宋体" w:eastAsia="宋体" w:cs="宋体"/>
          <w:lang w:val="en-US" w:eastAsia="zh-CN"/>
        </w:rPr>
        <w:t>.</w:t>
      </w:r>
      <w:r>
        <w:rPr>
          <w:rFonts w:hint="eastAsia" w:hAnsi="宋体" w:cs="宋体"/>
          <w:lang w:val="en-US" w:eastAsia="zh-CN"/>
        </w:rPr>
        <w:t>2</w:t>
      </w:r>
      <w:r>
        <w:rPr>
          <w:rFonts w:hint="eastAsia" w:ascii="宋体" w:hAnsi="宋体" w:eastAsia="宋体" w:cs="宋体"/>
          <w:lang w:val="en-US" w:eastAsia="zh-CN"/>
        </w:rPr>
        <w:t xml:space="preserve"> </w:t>
      </w:r>
      <w:r>
        <w:rPr>
          <w:rFonts w:hint="eastAsia" w:hAnsi="宋体" w:cs="宋体"/>
          <w:lang w:val="en-US" w:eastAsia="zh-CN"/>
        </w:rPr>
        <w:t>断裂伸长率</w:t>
      </w:r>
      <w:r>
        <w:rPr>
          <w:rFonts w:hint="eastAsia" w:ascii="宋体" w:hAnsi="宋体" w:eastAsia="宋体" w:cs="宋体"/>
          <w:lang w:val="en-US" w:eastAsia="zh-CN"/>
        </w:rPr>
        <w:t>试验</w:t>
      </w:r>
    </w:p>
    <w:p w14:paraId="170F7AA5">
      <w:pPr>
        <w:pStyle w:val="61"/>
        <w:keepNext w:val="0"/>
        <w:keepLines w:val="0"/>
        <w:pageBreakBefore w:val="0"/>
        <w:widowControl/>
        <w:numPr>
          <w:ilvl w:val="0"/>
          <w:numId w:val="0"/>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hAnsi="宋体" w:cs="宋体"/>
          <w:sz w:val="21"/>
          <w:lang w:val="en-US" w:eastAsia="zh-CN" w:bidi="ar-SA"/>
        </w:rPr>
        <w:t>应</w:t>
      </w:r>
      <w:r>
        <w:rPr>
          <w:rFonts w:hint="eastAsia" w:ascii="宋体" w:hAnsi="宋体" w:eastAsia="宋体" w:cs="宋体"/>
          <w:sz w:val="21"/>
          <w:lang w:val="en-US" w:eastAsia="zh-CN" w:bidi="ar-SA"/>
        </w:rPr>
        <w:t>按GB/T 8804.2的规定，从粗管段和细管段管壁上沿轴向分别截取哑铃型（Ⅰ型）试样，每组不少于5个</w:t>
      </w:r>
      <w:r>
        <w:rPr>
          <w:rFonts w:hint="eastAsia" w:hAnsi="宋体" w:cs="宋体"/>
          <w:sz w:val="21"/>
          <w:lang w:val="en-US" w:eastAsia="zh-CN" w:bidi="ar-SA"/>
        </w:rPr>
        <w:t>，</w:t>
      </w:r>
      <w:r>
        <w:rPr>
          <w:rFonts w:hint="eastAsia" w:ascii="宋体" w:hAnsi="宋体" w:eastAsia="宋体" w:cs="宋体"/>
          <w:sz w:val="21"/>
          <w:lang w:val="en-US" w:eastAsia="zh-CN" w:bidi="ar-SA"/>
        </w:rPr>
        <w:t>试验机应配备引伸计或位移测量装置，位移测量精度不低于0.01mm</w:t>
      </w:r>
      <w:r>
        <w:rPr>
          <w:rFonts w:hint="eastAsia" w:hAnsi="宋体" w:cs="宋体"/>
          <w:sz w:val="21"/>
          <w:lang w:val="en-US" w:eastAsia="zh-CN" w:bidi="ar-SA"/>
        </w:rPr>
        <w:t>，</w:t>
      </w:r>
      <w:r>
        <w:rPr>
          <w:rFonts w:hint="eastAsia" w:ascii="宋体" w:hAnsi="宋体" w:eastAsia="宋体" w:cs="宋体"/>
          <w:sz w:val="21"/>
          <w:lang w:val="en-US" w:eastAsia="zh-CN" w:bidi="ar-SA"/>
        </w:rPr>
        <w:t>取每组5个有效试样的算术平均值作为试验结果</w:t>
      </w:r>
      <w:r>
        <w:rPr>
          <w:rFonts w:hint="eastAsia" w:hAnsi="宋体" w:cs="宋体"/>
          <w:sz w:val="21"/>
          <w:lang w:val="en-US" w:eastAsia="zh-CN" w:bidi="ar-SA"/>
        </w:rPr>
        <w:t>，</w:t>
      </w:r>
      <w:r>
        <w:rPr>
          <w:rFonts w:hint="eastAsia" w:ascii="宋体" w:hAnsi="宋体" w:eastAsia="宋体" w:cs="宋体"/>
          <w:sz w:val="21"/>
          <w:lang w:val="en-US" w:eastAsia="zh-CN" w:bidi="ar-SA"/>
        </w:rPr>
        <w:t>断裂伸长</w:t>
      </w:r>
      <w:r>
        <w:rPr>
          <w:rFonts w:hint="eastAsia" w:hAnsi="宋体" w:cs="宋体"/>
          <w:lang w:val="en-US" w:eastAsia="zh-CN"/>
        </w:rPr>
        <w:t>率</w:t>
      </w:r>
      <m:oMath>
        <m:r>
          <m:rPr/>
          <w:rPr>
            <w:rFonts w:ascii="Cambria Math" w:hAnsi="Cambria Math" w:cs="Cambria Math"/>
          </w:rPr>
          <m:t>ε</m:t>
        </m:r>
      </m:oMath>
      <w:r>
        <w:rPr>
          <w:rFonts w:hint="eastAsia" w:ascii="宋体" w:hAnsi="宋体" w:eastAsia="宋体" w:cs="宋体"/>
          <w:sz w:val="21"/>
          <w:lang w:val="en-US" w:eastAsia="zh-CN" w:bidi="ar-SA"/>
        </w:rPr>
        <w:t>按式（2）计算</w:t>
      </w:r>
      <w:r>
        <w:rPr>
          <w:rFonts w:hint="eastAsia" w:hAnsi="宋体" w:cs="宋体"/>
          <w:sz w:val="21"/>
          <w:lang w:val="en-US" w:eastAsia="zh-CN" w:bidi="ar-SA"/>
        </w:rPr>
        <w:t>：</w:t>
      </w:r>
    </w:p>
    <w:p w14:paraId="5381529C">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Ansi="Cambria Math" w:cs="Cambria Math"/>
        </w:rPr>
      </w:pPr>
      <m:oMathPara>
        <m:oMathParaPr>
          <m:jc m:val="center"/>
        </m:oMathParaPr>
        <m:oMath>
          <m:eqArr>
            <m:eqArrPr>
              <m:maxDist m:val="1"/>
              <m:ctrlPr>
                <w:rPr>
                  <w:rFonts w:ascii="Cambria Math" w:hAnsi="Cambria Math" w:cs="Cambria Math"/>
                  <w:i/>
                  <w:sz w:val="21"/>
                </w:rPr>
              </m:ctrlPr>
            </m:eqArrPr>
            <m:e>
              <m:r>
                <m:rPr/>
                <w:rPr>
                  <w:rFonts w:ascii="Cambria Math" w:hAnsi="Cambria Math" w:cs="Cambria Math"/>
                </w:rPr>
                <m:t>ε</m:t>
              </m:r>
              <m:r>
                <m:rPr/>
                <w:rPr>
                  <w:rFonts w:ascii="Cambria Math" w:hAnsi="Cambria Math" w:cs="Cambria Math"/>
                  <w:sz w:val="21"/>
                </w:rPr>
                <m:t>=</m:t>
              </m:r>
              <m:f>
                <m:fPr>
                  <m:ctrlPr>
                    <w:rPr>
                      <w:rFonts w:ascii="Cambria Math" w:hAnsi="Cambria Math" w:cs="Cambria Math"/>
                      <w:i/>
                      <w:iCs/>
                      <w:sz w:val="21"/>
                    </w:rPr>
                  </m:ctrlPr>
                </m:fPr>
                <m:num>
                  <m:sSub>
                    <m:sSubPr>
                      <m:ctrlPr>
                        <w:rPr>
                          <w:rFonts w:ascii="Cambria Math" w:hAnsi="Cambria Math" w:cs="Cambria Math"/>
                          <w:i/>
                          <w:iCs/>
                          <w:sz w:val="21"/>
                        </w:rPr>
                      </m:ctrlPr>
                    </m:sSubPr>
                    <m:e>
                      <m:r>
                        <m:rPr/>
                        <w:rPr>
                          <w:rFonts w:hint="default" w:ascii="Cambria Math" w:hAnsi="Cambria Math" w:cs="Cambria Math"/>
                          <w:sz w:val="21"/>
                          <w:lang w:val="en-US" w:eastAsia="zh-CN"/>
                        </w:rPr>
                        <m:t>L</m:t>
                      </m:r>
                      <m:ctrlPr>
                        <w:rPr>
                          <w:rFonts w:ascii="Cambria Math" w:hAnsi="Cambria Math" w:cs="Cambria Math"/>
                          <w:i/>
                          <w:iCs/>
                          <w:sz w:val="21"/>
                        </w:rPr>
                      </m:ctrlPr>
                    </m:e>
                    <m:sub>
                      <m:r>
                        <m:rPr/>
                        <w:rPr>
                          <w:rFonts w:hint="default" w:ascii="Cambria Math" w:hAnsi="Cambria Math" w:cs="Cambria Math"/>
                          <w:sz w:val="21"/>
                          <w:lang w:val="en-US" w:eastAsia="zh-CN"/>
                        </w:rPr>
                        <m:t>f</m:t>
                      </m:r>
                      <m:ctrlPr>
                        <w:rPr>
                          <w:rFonts w:ascii="Cambria Math" w:hAnsi="Cambria Math" w:cs="Cambria Math"/>
                          <w:i/>
                          <w:iCs/>
                          <w:sz w:val="21"/>
                        </w:rPr>
                      </m:ctrlPr>
                    </m:sub>
                  </m:sSub>
                  <m:r>
                    <m:rPr/>
                    <w:rPr>
                      <w:rFonts w:hint="default" w:ascii="Cambria Math" w:hAnsi="Cambria Math" w:cs="Cambria Math"/>
                      <w:sz w:val="21"/>
                      <w:lang w:val="en-US" w:eastAsia="zh-CN"/>
                    </w:rPr>
                    <m:t>−</m:t>
                  </m:r>
                  <m:sSub>
                    <m:sSubPr>
                      <m:ctrlPr>
                        <w:rPr>
                          <w:rFonts w:hint="default" w:ascii="Cambria Math" w:hAnsi="Cambria Math" w:cs="Cambria Math"/>
                          <w:i/>
                          <w:iCs/>
                          <w:sz w:val="21"/>
                          <w:lang w:val="en-US" w:eastAsia="zh-CN"/>
                        </w:rPr>
                      </m:ctrlPr>
                    </m:sSubPr>
                    <m:e>
                      <m:r>
                        <m:rPr/>
                        <w:rPr>
                          <w:rFonts w:hint="default" w:ascii="Cambria Math" w:hAnsi="Cambria Math" w:cs="Cambria Math"/>
                          <w:sz w:val="21"/>
                          <w:lang w:val="en-US" w:eastAsia="zh-CN"/>
                        </w:rPr>
                        <m:t>L</m:t>
                      </m:r>
                      <m:ctrlPr>
                        <w:rPr>
                          <w:rFonts w:hint="default" w:ascii="Cambria Math" w:hAnsi="Cambria Math" w:cs="Cambria Math"/>
                          <w:i/>
                          <w:iCs/>
                          <w:sz w:val="21"/>
                          <w:lang w:val="en-US" w:eastAsia="zh-CN"/>
                        </w:rPr>
                      </m:ctrlPr>
                    </m:e>
                    <m:sub>
                      <m:r>
                        <m:rPr/>
                        <w:rPr>
                          <w:rFonts w:hint="default" w:ascii="Cambria Math" w:hAnsi="Cambria Math" w:cs="Cambria Math"/>
                          <w:sz w:val="21"/>
                          <w:lang w:val="en-US" w:eastAsia="zh-CN"/>
                        </w:rPr>
                        <m:t>0</m:t>
                      </m:r>
                      <m:ctrlPr>
                        <w:rPr>
                          <w:rFonts w:hint="default" w:ascii="Cambria Math" w:hAnsi="Cambria Math" w:cs="Cambria Math"/>
                          <w:i/>
                          <w:iCs/>
                          <w:sz w:val="21"/>
                          <w:lang w:val="en-US" w:eastAsia="zh-CN"/>
                        </w:rPr>
                      </m:ctrlPr>
                    </m:sub>
                  </m:sSub>
                  <m:ctrlPr>
                    <w:rPr>
                      <w:rFonts w:ascii="Cambria Math" w:hAnsi="Cambria Math" w:cs="Cambria Math"/>
                      <w:i/>
                      <w:iCs/>
                      <w:sz w:val="21"/>
                    </w:rPr>
                  </m:ctrlPr>
                </m:num>
                <m:den>
                  <m:sSub>
                    <m:sSubPr>
                      <m:ctrlPr>
                        <w:rPr>
                          <w:rFonts w:ascii="Cambria Math" w:hAnsi="Cambria Math" w:cs="Cambria Math"/>
                          <w:i/>
                          <w:iCs/>
                          <w:sz w:val="21"/>
                        </w:rPr>
                      </m:ctrlPr>
                    </m:sSubPr>
                    <m:e>
                      <m:r>
                        <m:rPr/>
                        <w:rPr>
                          <w:rFonts w:hint="default" w:ascii="Cambria Math" w:hAnsi="Cambria Math" w:cs="Cambria Math"/>
                          <w:sz w:val="21"/>
                          <w:lang w:val="en-US" w:eastAsia="zh-CN"/>
                        </w:rPr>
                        <m:t>L</m:t>
                      </m:r>
                      <m:ctrlPr>
                        <w:rPr>
                          <w:rFonts w:ascii="Cambria Math" w:hAnsi="Cambria Math" w:cs="Cambria Math"/>
                          <w:i/>
                          <w:iCs/>
                          <w:sz w:val="21"/>
                        </w:rPr>
                      </m:ctrlPr>
                    </m:e>
                    <m:sub>
                      <m:r>
                        <m:rPr/>
                        <w:rPr>
                          <w:rFonts w:hint="default" w:ascii="Cambria Math" w:hAnsi="Cambria Math" w:cs="Cambria Math"/>
                          <w:sz w:val="21"/>
                          <w:lang w:val="en-US" w:eastAsia="zh-CN"/>
                        </w:rPr>
                        <m:t>0</m:t>
                      </m:r>
                      <m:ctrlPr>
                        <w:rPr>
                          <w:rFonts w:ascii="Cambria Math" w:hAnsi="Cambria Math" w:cs="Cambria Math"/>
                          <w:i/>
                          <w:iCs/>
                          <w:sz w:val="21"/>
                        </w:rPr>
                      </m:ctrlPr>
                    </m:sub>
                  </m:sSub>
                  <m:ctrlPr>
                    <w:rPr>
                      <w:rFonts w:ascii="Cambria Math" w:hAnsi="Cambria Math" w:cs="Cambria Math"/>
                      <w:iCs/>
                      <w:sz w:val="21"/>
                    </w:rPr>
                  </m:ctrlPr>
                </m:den>
              </m:f>
              <m:r>
                <m:rPr>
                  <m:sty m:val="p"/>
                </m:rPr>
                <w:rPr>
                  <w:rFonts w:ascii="Cambria Math" w:hAnsi="Cambria Math" w:cs="Cambria Math"/>
                  <w:sz w:val="21"/>
                </w:rPr>
                <m:t>×</m:t>
              </m:r>
              <m:r>
                <m:rPr>
                  <m:sty m:val="p"/>
                </m:rPr>
                <w:rPr>
                  <w:rFonts w:hint="default" w:ascii="Cambria Math" w:hAnsi="Cambria Math" w:cs="Cambria Math"/>
                  <w:sz w:val="21"/>
                  <w:lang w:val="en-US" w:eastAsia="zh-CN"/>
                </w:rPr>
                <m:t>100%</m:t>
              </m:r>
              <m:r>
                <m:rPr>
                  <m:sty m:val="p"/>
                </m:rPr>
                <w:rPr>
                  <w:rFonts w:ascii="Cambria Math" w:hAnsi="Cambria Math" w:cs="Cambria Math"/>
                  <w:sz w:val="21"/>
                </w:rPr>
                <m:t>#</m:t>
              </m:r>
              <m:r>
                <m:rPr>
                  <m:sty m:val="p"/>
                </m:rPr>
                <w:rPr>
                  <w:rFonts w:hint="eastAsia" w:ascii="Cambria Math" w:hAnsi="Cambria Math" w:cs="Cambria Math"/>
                  <w:sz w:val="21"/>
                </w:rPr>
                <m:t>·····················（</m:t>
              </m:r>
              <m:r>
                <m:rPr>
                  <m:sty m:val="p"/>
                </m:rPr>
                <w:rPr>
                  <w:rFonts w:hint="default" w:ascii="Cambria Math" w:hAnsi="Cambria Math" w:cs="Cambria Math"/>
                  <w:sz w:val="21"/>
                  <w:lang w:val="en-US" w:eastAsia="zh-CN"/>
                </w:rPr>
                <m:t>2</m:t>
              </m:r>
              <m:r>
                <m:rPr>
                  <m:sty m:val="p"/>
                </m:rPr>
                <w:rPr>
                  <w:rFonts w:hint="eastAsia" w:ascii="Cambria Math" w:hAnsi="Cambria Math" w:cs="Cambria Math"/>
                  <w:sz w:val="21"/>
                </w:rPr>
                <m:t>）</m:t>
              </m:r>
              <m:ctrlPr>
                <w:rPr>
                  <w:rFonts w:ascii="Cambria Math" w:hAnsi="Cambria Math" w:cs="Cambria Math"/>
                  <w:i/>
                  <w:sz w:val="21"/>
                </w:rPr>
              </m:ctrlPr>
            </m:e>
          </m:eqArr>
        </m:oMath>
      </m:oMathPara>
    </w:p>
    <w:p w14:paraId="48A931CE">
      <w:pPr>
        <w:pStyle w:val="61"/>
        <w:rPr>
          <w:rFonts w:hAnsi="Cambria Math" w:cs="Cambria Math"/>
        </w:rPr>
      </w:pPr>
      <w:r>
        <w:rPr>
          <w:rFonts w:hint="eastAsia" w:hAnsi="Cambria Math" w:cs="Cambria Math"/>
        </w:rPr>
        <w:t>式中：</w:t>
      </w:r>
    </w:p>
    <w:p w14:paraId="63499F64">
      <w:pPr>
        <w:pStyle w:val="61"/>
        <w:rPr>
          <w:rFonts w:hAnsi="Cambria Math" w:cs="Cambria Math"/>
        </w:rPr>
      </w:pPr>
      <m:oMath>
        <m:r>
          <m:rPr/>
          <w:rPr>
            <w:rFonts w:ascii="Cambria Math" w:hAnsi="Cambria Math" w:cs="Cambria Math"/>
          </w:rPr>
          <m:t>ε</m:t>
        </m:r>
      </m:oMath>
      <w:r>
        <w:rPr>
          <w:rFonts w:hint="eastAsia" w:hAnsi="宋体" w:cs="宋体"/>
          <w:color w:val="0F1115"/>
          <w:szCs w:val="21"/>
          <w:shd w:val="clear" w:color="auto" w:fill="FFFFFF"/>
        </w:rPr>
        <w:t>——断裂伸长率，</w:t>
      </w:r>
      <w:r>
        <w:rPr>
          <w:rFonts w:hint="eastAsia" w:hAnsi="宋体" w:cs="宋体"/>
          <w:color w:val="0F1115"/>
          <w:szCs w:val="21"/>
          <w:shd w:val="clear" w:color="auto" w:fill="FFFFFF"/>
          <w:lang w:val="en-US" w:eastAsia="zh-CN"/>
        </w:rPr>
        <w:t>单位为百分率（</w:t>
      </w:r>
      <w:r>
        <w:rPr>
          <w:rFonts w:hint="eastAsia" w:hAnsi="宋体" w:cs="宋体"/>
          <w:color w:val="0F1115"/>
          <w:szCs w:val="21"/>
          <w:shd w:val="clear" w:color="auto" w:fill="FFFFFF"/>
        </w:rPr>
        <w:t>%</w:t>
      </w:r>
      <w:r>
        <w:rPr>
          <w:rFonts w:hint="eastAsia" w:hAnsi="宋体" w:cs="宋体"/>
          <w:color w:val="0F1115"/>
          <w:szCs w:val="21"/>
          <w:shd w:val="clear" w:color="auto" w:fill="FFFFFF"/>
          <w:lang w:eastAsia="zh-CN"/>
        </w:rPr>
        <w:t>）</w:t>
      </w:r>
      <w:r>
        <w:rPr>
          <w:rFonts w:hint="eastAsia" w:hAnsi="宋体" w:cs="宋体"/>
          <w:color w:val="0F1115"/>
          <w:szCs w:val="21"/>
          <w:shd w:val="clear" w:color="auto" w:fill="FFFFFF"/>
        </w:rPr>
        <w:t>；</w:t>
      </w:r>
    </w:p>
    <w:p w14:paraId="79C0ACCE">
      <w:pPr>
        <w:pStyle w:val="61"/>
        <w:rPr>
          <w:rFonts w:hint="eastAsia" w:ascii="宋体" w:hAnsi="宋体" w:eastAsia="宋体" w:cs="宋体"/>
          <w:sz w:val="21"/>
          <w:lang w:val="en-US" w:eastAsia="zh-CN" w:bidi="ar-SA"/>
        </w:rPr>
      </w:pPr>
      <m:oMath>
        <m:sSub>
          <m:sSubPr>
            <m:ctrlPr>
              <w:rPr>
                <w:rFonts w:ascii="Cambria Math" w:hAnsi="Cambria Math" w:cs="Cambria Math"/>
                <w:i/>
                <w:iCs/>
                <w:sz w:val="21"/>
              </w:rPr>
            </m:ctrlPr>
          </m:sSubPr>
          <m:e>
            <m:r>
              <m:rPr/>
              <w:rPr>
                <w:rFonts w:hint="default" w:ascii="Cambria Math" w:hAnsi="Cambria Math" w:cs="Cambria Math"/>
                <w:sz w:val="21"/>
                <w:lang w:val="en-US" w:eastAsia="zh-CN"/>
              </w:rPr>
              <m:t>L</m:t>
            </m:r>
            <m:ctrlPr>
              <w:rPr>
                <w:rFonts w:ascii="Cambria Math" w:hAnsi="Cambria Math" w:cs="Cambria Math"/>
                <w:i/>
                <w:iCs/>
                <w:sz w:val="21"/>
              </w:rPr>
            </m:ctrlPr>
          </m:e>
          <m:sub>
            <m:r>
              <m:rPr/>
              <w:rPr>
                <w:rFonts w:hint="default" w:ascii="Cambria Math" w:hAnsi="Cambria Math" w:cs="Cambria Math"/>
                <w:sz w:val="21"/>
                <w:lang w:val="en-US" w:eastAsia="zh-CN"/>
              </w:rPr>
              <m:t>f</m:t>
            </m:r>
            <m:ctrlPr>
              <w:rPr>
                <w:rFonts w:ascii="Cambria Math" w:hAnsi="Cambria Math" w:cs="Cambria Math"/>
                <w:i/>
                <w:iCs/>
                <w:sz w:val="21"/>
              </w:rPr>
            </m:ctrlPr>
          </m:sub>
        </m:sSub>
      </m:oMath>
      <w:r>
        <w:rPr>
          <w:rFonts w:hint="eastAsia" w:hAnsi="宋体" w:cs="宋体"/>
          <w:color w:val="0F1115"/>
          <w:szCs w:val="21"/>
          <w:shd w:val="clear" w:color="auto" w:fill="FFFFFF"/>
        </w:rPr>
        <w:t>——断裂后标距，</w:t>
      </w:r>
      <w:r>
        <w:rPr>
          <w:rFonts w:hint="eastAsia" w:hAnsi="宋体" w:cs="宋体"/>
          <w:color w:val="0F1115"/>
          <w:szCs w:val="21"/>
          <w:shd w:val="clear" w:color="auto" w:fill="FFFFFF"/>
          <w:lang w:val="en-US" w:eastAsia="zh-CN"/>
        </w:rPr>
        <w:t>单位为毫米（</w:t>
      </w:r>
      <w:r>
        <w:rPr>
          <w:rFonts w:hint="eastAsia" w:hAnsi="宋体" w:cs="宋体"/>
          <w:color w:val="0F1115"/>
          <w:szCs w:val="21"/>
          <w:shd w:val="clear" w:color="auto" w:fill="FFFFFF"/>
        </w:rPr>
        <w:t>mm</w:t>
      </w:r>
      <w:r>
        <w:rPr>
          <w:rFonts w:hint="eastAsia" w:hAnsi="宋体" w:cs="宋体"/>
          <w:color w:val="0F1115"/>
          <w:szCs w:val="21"/>
          <w:shd w:val="clear" w:color="auto" w:fill="FFFFFF"/>
          <w:lang w:eastAsia="zh-CN"/>
        </w:rPr>
        <w:t>）；</w:t>
      </w:r>
    </w:p>
    <w:p w14:paraId="7A43AE8F">
      <w:pPr>
        <w:pStyle w:val="61"/>
        <w:rPr>
          <w:rFonts w:hAnsi="Cambria Math" w:cs="Cambria Math"/>
        </w:rPr>
      </w:pPr>
      <m:oMath>
        <m:sSub>
          <m:sSubPr>
            <m:ctrlPr>
              <w:rPr>
                <w:rFonts w:ascii="Cambria Math" w:hAnsi="Cambria Math" w:cs="Cambria Math"/>
                <w:i/>
                <w:iCs/>
                <w:sz w:val="21"/>
              </w:rPr>
            </m:ctrlPr>
          </m:sSubPr>
          <m:e>
            <m:r>
              <m:rPr/>
              <w:rPr>
                <w:rFonts w:hint="default" w:ascii="Cambria Math" w:hAnsi="Cambria Math" w:cs="Cambria Math"/>
                <w:sz w:val="21"/>
                <w:lang w:val="en-US" w:eastAsia="zh-CN"/>
              </w:rPr>
              <m:t>L</m:t>
            </m:r>
            <m:ctrlPr>
              <w:rPr>
                <w:rFonts w:ascii="Cambria Math" w:hAnsi="Cambria Math" w:cs="Cambria Math"/>
                <w:i/>
                <w:iCs/>
                <w:sz w:val="21"/>
              </w:rPr>
            </m:ctrlPr>
          </m:e>
          <m:sub>
            <m:r>
              <m:rPr/>
              <w:rPr>
                <w:rFonts w:hint="default" w:ascii="Cambria Math" w:hAnsi="Cambria Math" w:cs="Cambria Math"/>
                <w:sz w:val="21"/>
                <w:lang w:val="en-US" w:eastAsia="zh-CN"/>
              </w:rPr>
              <m:t>0</m:t>
            </m:r>
            <m:ctrlPr>
              <w:rPr>
                <w:rFonts w:ascii="Cambria Math" w:hAnsi="Cambria Math" w:cs="Cambria Math"/>
                <w:i/>
                <w:iCs/>
                <w:sz w:val="21"/>
              </w:rPr>
            </m:ctrlPr>
          </m:sub>
        </m:sSub>
      </m:oMath>
      <w:r>
        <w:rPr>
          <w:rFonts w:hint="eastAsia" w:hAnsi="宋体" w:cs="宋体"/>
          <w:color w:val="0F1115"/>
          <w:szCs w:val="21"/>
          <w:shd w:val="clear" w:color="auto" w:fill="FFFFFF"/>
        </w:rPr>
        <w:t>——初始标距，</w:t>
      </w:r>
      <w:r>
        <w:rPr>
          <w:rFonts w:hint="eastAsia" w:hAnsi="宋体" w:cs="宋体"/>
          <w:color w:val="0F1115"/>
          <w:szCs w:val="21"/>
          <w:shd w:val="clear" w:color="auto" w:fill="FFFFFF"/>
          <w:lang w:val="en-US" w:eastAsia="zh-CN"/>
        </w:rPr>
        <w:t>单位为毫米（</w:t>
      </w:r>
      <w:r>
        <w:rPr>
          <w:rFonts w:hint="eastAsia" w:hAnsi="宋体" w:cs="宋体"/>
          <w:color w:val="0F1115"/>
          <w:szCs w:val="21"/>
          <w:shd w:val="clear" w:color="auto" w:fill="FFFFFF"/>
        </w:rPr>
        <w:t>mm</w:t>
      </w:r>
      <w:r>
        <w:rPr>
          <w:rFonts w:hint="eastAsia" w:hAnsi="宋体" w:cs="宋体"/>
          <w:color w:val="0F1115"/>
          <w:szCs w:val="21"/>
          <w:shd w:val="clear" w:color="auto" w:fill="FFFFFF"/>
          <w:lang w:eastAsia="zh-CN"/>
        </w:rPr>
        <w:t>）。</w:t>
      </w:r>
    </w:p>
    <w:p w14:paraId="1169C781">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6.</w:t>
      </w:r>
      <w:r>
        <w:rPr>
          <w:rFonts w:hint="eastAsia" w:hAnsi="宋体" w:cs="宋体"/>
          <w:lang w:val="en-US" w:eastAsia="zh-CN"/>
        </w:rPr>
        <w:t>3</w:t>
      </w:r>
      <w:r>
        <w:rPr>
          <w:rFonts w:hint="eastAsia" w:ascii="宋体" w:hAnsi="宋体" w:eastAsia="宋体" w:cs="宋体"/>
          <w:lang w:val="en-US" w:eastAsia="zh-CN"/>
        </w:rPr>
        <w:t>.</w:t>
      </w:r>
      <w:r>
        <w:rPr>
          <w:rFonts w:hint="eastAsia" w:hAnsi="宋体" w:cs="宋体"/>
          <w:lang w:val="en-US" w:eastAsia="zh-CN"/>
        </w:rPr>
        <w:t>3</w:t>
      </w:r>
      <w:r>
        <w:rPr>
          <w:rFonts w:hint="eastAsia" w:ascii="宋体" w:hAnsi="宋体" w:eastAsia="宋体" w:cs="宋体"/>
          <w:lang w:val="en-US" w:eastAsia="zh-CN"/>
        </w:rPr>
        <w:t xml:space="preserve"> </w:t>
      </w:r>
      <w:r>
        <w:rPr>
          <w:rFonts w:hint="eastAsia" w:ascii="宋体" w:hAnsi="宋体" w:eastAsia="宋体" w:cs="宋体"/>
          <w:sz w:val="21"/>
          <w:lang w:val="en-US" w:eastAsia="zh-CN" w:bidi="ar-SA"/>
        </w:rPr>
        <w:t>纵向回缩率</w:t>
      </w:r>
      <w:r>
        <w:rPr>
          <w:rFonts w:hint="eastAsia" w:ascii="宋体" w:hAnsi="宋体" w:eastAsia="宋体" w:cs="宋体"/>
          <w:lang w:val="en-US" w:eastAsia="zh-CN"/>
        </w:rPr>
        <w:t>试验</w:t>
      </w:r>
    </w:p>
    <w:p w14:paraId="06FD52D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lang w:val="en-US" w:eastAsia="zh-CN"/>
        </w:rPr>
        <w:t>试验</w:t>
      </w:r>
      <w:r>
        <w:rPr>
          <w:rFonts w:hint="eastAsia" w:ascii="宋体" w:hAnsi="宋体" w:eastAsia="宋体" w:cs="宋体"/>
          <w:i w:val="0"/>
          <w:iCs w:val="0"/>
          <w:caps w:val="0"/>
          <w:color w:val="0F1115"/>
          <w:spacing w:val="0"/>
          <w:sz w:val="21"/>
          <w:szCs w:val="21"/>
          <w:shd w:val="clear" w:fill="FFFFFF"/>
          <w:lang w:val="en-US" w:eastAsia="zh-CN"/>
        </w:rPr>
        <w:t>应按GB/T 6671规定的方法执行。</w:t>
      </w:r>
    </w:p>
    <w:p w14:paraId="6906F5A8">
      <w:pPr>
        <w:pStyle w:val="61"/>
        <w:ind w:left="0" w:leftChars="0" w:firstLine="0" w:firstLineChars="0"/>
        <w:rPr>
          <w:rFonts w:hint="eastAsia" w:ascii="宋体" w:hAnsi="宋体" w:eastAsia="宋体" w:cs="宋体"/>
          <w:sz w:val="21"/>
          <w:lang w:val="en-US" w:eastAsia="zh-CN" w:bidi="ar-SA"/>
        </w:rPr>
      </w:pPr>
      <w:r>
        <w:rPr>
          <w:rFonts w:hint="eastAsia" w:ascii="宋体" w:hAnsi="宋体" w:eastAsia="宋体" w:cs="宋体"/>
          <w:lang w:val="en-US" w:eastAsia="zh-CN"/>
        </w:rPr>
        <w:t>6.</w:t>
      </w:r>
      <w:r>
        <w:rPr>
          <w:rFonts w:hint="eastAsia" w:hAnsi="宋体" w:cs="宋体"/>
          <w:lang w:val="en-US" w:eastAsia="zh-CN"/>
        </w:rPr>
        <w:t>3</w:t>
      </w:r>
      <w:r>
        <w:rPr>
          <w:rFonts w:hint="eastAsia" w:ascii="宋体" w:hAnsi="宋体" w:eastAsia="宋体" w:cs="宋体"/>
          <w:lang w:val="en-US" w:eastAsia="zh-CN"/>
        </w:rPr>
        <w:t>.</w:t>
      </w:r>
      <w:r>
        <w:rPr>
          <w:rFonts w:hint="eastAsia" w:hAnsi="宋体" w:cs="宋体"/>
          <w:lang w:val="en-US" w:eastAsia="zh-CN"/>
        </w:rPr>
        <w:t>4</w:t>
      </w:r>
      <w:r>
        <w:rPr>
          <w:rFonts w:hint="eastAsia" w:ascii="宋体" w:hAnsi="宋体" w:eastAsia="宋体" w:cs="宋体"/>
          <w:lang w:val="en-US" w:eastAsia="zh-CN"/>
        </w:rPr>
        <w:t xml:space="preserve"> </w:t>
      </w:r>
      <w:r>
        <w:rPr>
          <w:rFonts w:hint="eastAsia" w:ascii="宋体" w:hAnsi="宋体" w:eastAsia="宋体" w:cs="宋体"/>
          <w:sz w:val="21"/>
          <w:lang w:val="en-US" w:eastAsia="zh-CN" w:bidi="ar-SA"/>
        </w:rPr>
        <w:t>负荷变形温度</w:t>
      </w:r>
      <w:r>
        <w:rPr>
          <w:rFonts w:hint="eastAsia" w:ascii="宋体" w:hAnsi="宋体" w:eastAsia="宋体" w:cs="宋体"/>
          <w:lang w:val="en-US" w:eastAsia="zh-CN"/>
        </w:rPr>
        <w:t>试验</w:t>
      </w:r>
    </w:p>
    <w:p w14:paraId="6C24207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lang w:val="en-US" w:eastAsia="zh-CN"/>
        </w:rPr>
        <w:t>试验</w:t>
      </w:r>
      <w:r>
        <w:rPr>
          <w:rFonts w:hint="eastAsia" w:ascii="宋体" w:hAnsi="宋体" w:eastAsia="宋体" w:cs="宋体"/>
          <w:sz w:val="21"/>
          <w:lang w:val="en-US" w:eastAsia="zh-CN" w:bidi="ar-SA"/>
        </w:rPr>
        <w:t>应按GB/T 1634.3规定的方法执行。</w:t>
      </w:r>
    </w:p>
    <w:p w14:paraId="5D066336">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sz w:val="21"/>
          <w:lang w:val="en-US" w:eastAsia="zh-CN" w:bidi="ar-SA"/>
        </w:rPr>
      </w:pPr>
      <w:r>
        <w:rPr>
          <w:rFonts w:hint="eastAsia" w:hAnsi="宋体" w:cs="宋体"/>
          <w:lang w:val="en-US" w:eastAsia="zh-CN"/>
        </w:rPr>
        <w:t xml:space="preserve">6.3.5 </w:t>
      </w:r>
      <w:r>
        <w:rPr>
          <w:rFonts w:hint="eastAsia" w:ascii="宋体" w:hAnsi="宋体" w:eastAsia="宋体" w:cs="宋体"/>
          <w:sz w:val="21"/>
          <w:lang w:val="en-US" w:eastAsia="zh-CN" w:bidi="ar-SA"/>
        </w:rPr>
        <w:t>常温落锤冲击</w:t>
      </w:r>
      <w:r>
        <w:rPr>
          <w:rFonts w:hint="eastAsia" w:ascii="宋体" w:hAnsi="宋体" w:eastAsia="宋体" w:cs="宋体"/>
          <w:lang w:val="en-US" w:eastAsia="zh-CN"/>
        </w:rPr>
        <w:t>试验</w:t>
      </w:r>
    </w:p>
    <w:p w14:paraId="119E790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sz w:val="21"/>
          <w:lang w:val="en-US" w:eastAsia="zh-CN" w:bidi="ar-SA"/>
        </w:rPr>
      </w:pPr>
      <w:r>
        <w:rPr>
          <w:rFonts w:hint="eastAsia" w:hAnsi="宋体" w:cs="宋体"/>
          <w:sz w:val="21"/>
          <w:lang w:val="en-US" w:eastAsia="zh-CN" w:bidi="ar-SA"/>
        </w:rPr>
        <w:t>试验应按GB/T 14152规定的方法执行。</w:t>
      </w:r>
    </w:p>
    <w:p w14:paraId="575695B0">
      <w:pPr>
        <w:pStyle w:val="110"/>
        <w:numPr>
          <w:ilvl w:val="2"/>
          <w:numId w:val="2"/>
        </w:numPr>
        <w:spacing w:before="120" w:after="120"/>
        <w:rPr>
          <w:rFonts w:hint="eastAsia" w:hAnsi="Times New Roman" w:cs="Times New Roman"/>
          <w:lang w:val="en-US" w:eastAsia="zh-CN"/>
        </w:rPr>
      </w:pPr>
      <w:bookmarkStart w:id="117" w:name="_Toc4461"/>
      <w:r>
        <w:rPr>
          <w:rFonts w:hint="eastAsia" w:cs="Times New Roman"/>
          <w:lang w:val="en-US" w:eastAsia="zh-CN"/>
        </w:rPr>
        <w:t>电气绝缘性试验</w:t>
      </w:r>
      <w:bookmarkEnd w:id="117"/>
    </w:p>
    <w:p w14:paraId="02CAEA2A">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6.4.1 电气强度试验</w:t>
      </w:r>
    </w:p>
    <w:p w14:paraId="68A93BC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试验应按GB/T 1408.1规定的方法执行。</w:t>
      </w:r>
    </w:p>
    <w:p w14:paraId="7F2571A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6.4.2 绝缘电阻试验</w:t>
      </w:r>
    </w:p>
    <w:p w14:paraId="47DA4AFA">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lang w:val="en-US" w:eastAsia="zh-CN"/>
        </w:rPr>
      </w:pPr>
      <w:r>
        <w:rPr>
          <w:rFonts w:hint="eastAsia" w:ascii="宋体" w:hAnsi="宋体" w:eastAsia="宋体" w:cs="宋体"/>
          <w:sz w:val="21"/>
          <w:szCs w:val="21"/>
          <w:lang w:val="en-US" w:eastAsia="zh-CN"/>
        </w:rPr>
        <w:t>试验应按</w:t>
      </w:r>
      <w:r>
        <w:rPr>
          <w:rFonts w:hint="eastAsia" w:ascii="宋体" w:hAnsi="宋体" w:eastAsia="宋体" w:cs="宋体"/>
          <w:i w:val="0"/>
          <w:iCs w:val="0"/>
          <w:caps w:val="0"/>
          <w:color w:val="0F1115"/>
          <w:spacing w:val="0"/>
          <w:sz w:val="21"/>
          <w:szCs w:val="21"/>
          <w:shd w:val="clear" w:fill="FFFFFF"/>
        </w:rPr>
        <w:t>GB/T 31838.2</w:t>
      </w:r>
      <w:r>
        <w:rPr>
          <w:rFonts w:hint="eastAsia" w:ascii="宋体" w:hAnsi="宋体" w:eastAsia="宋体" w:cs="宋体"/>
          <w:i w:val="0"/>
          <w:iCs w:val="0"/>
          <w:caps w:val="0"/>
          <w:color w:val="0F1115"/>
          <w:spacing w:val="0"/>
          <w:sz w:val="21"/>
          <w:szCs w:val="21"/>
          <w:shd w:val="clear" w:fill="FFFFFF"/>
          <w:lang w:val="en-US" w:eastAsia="zh-CN"/>
        </w:rPr>
        <w:t>规定的方法执行。</w:t>
      </w:r>
    </w:p>
    <w:p w14:paraId="5E54D241">
      <w:pPr>
        <w:pStyle w:val="110"/>
        <w:numPr>
          <w:ilvl w:val="2"/>
          <w:numId w:val="2"/>
        </w:numPr>
        <w:spacing w:before="120" w:after="120"/>
        <w:rPr>
          <w:rFonts w:hint="eastAsia" w:hAnsi="Times New Roman" w:cs="Times New Roman"/>
          <w:lang w:val="en-US" w:eastAsia="zh-CN"/>
        </w:rPr>
      </w:pPr>
      <w:bookmarkStart w:id="118" w:name="_Toc23511"/>
      <w:r>
        <w:rPr>
          <w:rFonts w:hint="eastAsia" w:cs="Times New Roman"/>
          <w:lang w:val="en-US" w:eastAsia="zh-CN"/>
        </w:rPr>
        <w:t>燃烧性试验</w:t>
      </w:r>
      <w:bookmarkEnd w:id="118"/>
    </w:p>
    <w:p w14:paraId="7C4D7D49">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Times New Roman" w:eastAsia="宋体" w:cs="Times New Roman"/>
          <w:lang w:val="en-US" w:eastAsia="zh-CN"/>
        </w:rPr>
      </w:pPr>
      <w:r>
        <w:rPr>
          <w:rFonts w:hint="eastAsia" w:ascii="宋体" w:hAnsi="Times New Roman" w:cs="Times New Roman"/>
          <w:lang w:val="en-US" w:eastAsia="zh-CN"/>
        </w:rPr>
        <w:t>试验</w:t>
      </w:r>
      <w:r>
        <w:rPr>
          <w:rFonts w:hint="eastAsia" w:ascii="宋体" w:hAnsi="Times New Roman" w:eastAsia="宋体" w:cs="Times New Roman"/>
          <w:lang w:val="en-US" w:eastAsia="zh-CN"/>
        </w:rPr>
        <w:t>应按GB/T 2408规定的方法执行。</w:t>
      </w:r>
    </w:p>
    <w:p w14:paraId="60D9A479">
      <w:pPr>
        <w:pStyle w:val="110"/>
        <w:numPr>
          <w:ilvl w:val="2"/>
          <w:numId w:val="2"/>
        </w:numPr>
        <w:spacing w:before="120" w:after="120"/>
        <w:rPr>
          <w:rFonts w:hint="default" w:cs="Times New Roman"/>
          <w:lang w:val="en-US" w:eastAsia="zh-CN"/>
        </w:rPr>
      </w:pPr>
      <w:bookmarkStart w:id="119" w:name="_Toc21849"/>
      <w:r>
        <w:rPr>
          <w:rFonts w:hint="eastAsia" w:cs="Times New Roman"/>
          <w:lang w:val="en-US" w:eastAsia="zh-CN"/>
        </w:rPr>
        <w:t>反光警示膜性能试验</w:t>
      </w:r>
      <w:bookmarkEnd w:id="119"/>
    </w:p>
    <w:p w14:paraId="7B920A73">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cs="宋体"/>
          <w:i w:val="0"/>
          <w:iCs w:val="0"/>
          <w:caps w:val="0"/>
          <w:color w:val="0F1115"/>
          <w:spacing w:val="0"/>
          <w:sz w:val="21"/>
          <w:szCs w:val="21"/>
          <w:shd w:val="clear" w:fill="FFFFFF"/>
          <w:lang w:val="en-US" w:eastAsia="zh-CN"/>
        </w:rPr>
      </w:pPr>
      <w:r>
        <w:rPr>
          <w:rFonts w:hint="eastAsia" w:ascii="宋体" w:hAnsi="宋体" w:cs="宋体"/>
          <w:i w:val="0"/>
          <w:iCs w:val="0"/>
          <w:caps w:val="0"/>
          <w:color w:val="0F1115"/>
          <w:spacing w:val="0"/>
          <w:sz w:val="21"/>
          <w:szCs w:val="21"/>
          <w:shd w:val="clear" w:fill="FFFFFF"/>
          <w:lang w:val="en-US" w:eastAsia="zh-CN"/>
        </w:rPr>
        <w:t>试验应</w:t>
      </w:r>
      <w:r>
        <w:rPr>
          <w:rFonts w:hint="eastAsia" w:ascii="宋体" w:hAnsi="宋体" w:eastAsia="宋体" w:cs="宋体"/>
          <w:i w:val="0"/>
          <w:iCs w:val="0"/>
          <w:caps w:val="0"/>
          <w:color w:val="0F1115"/>
          <w:spacing w:val="0"/>
          <w:sz w:val="21"/>
          <w:szCs w:val="21"/>
          <w:shd w:val="clear" w:fill="FFFFFF"/>
        </w:rPr>
        <w:t>在观测角0.2°</w:t>
      </w:r>
      <w:r>
        <w:rPr>
          <w:rFonts w:hint="eastAsia" w:ascii="宋体" w:hAnsi="宋体" w:eastAsia="宋体" w:cs="宋体"/>
          <w:i w:val="0"/>
          <w:iCs w:val="0"/>
          <w:caps w:val="0"/>
          <w:color w:val="0F1115"/>
          <w:spacing w:val="0"/>
          <w:sz w:val="21"/>
          <w:szCs w:val="21"/>
          <w:shd w:val="clear" w:fill="FFFFFF"/>
          <w:lang w:eastAsia="zh-CN"/>
        </w:rPr>
        <w:t>、</w:t>
      </w:r>
      <w:r>
        <w:rPr>
          <w:rFonts w:hint="eastAsia" w:ascii="宋体" w:hAnsi="宋体" w:eastAsia="宋体" w:cs="宋体"/>
          <w:i w:val="0"/>
          <w:iCs w:val="0"/>
          <w:caps w:val="0"/>
          <w:color w:val="0F1115"/>
          <w:spacing w:val="0"/>
          <w:sz w:val="21"/>
          <w:szCs w:val="21"/>
          <w:shd w:val="clear" w:fill="FFFFFF"/>
        </w:rPr>
        <w:t>入射角5°，暗室或避光环境中（背景亮度不大于0.1cd/m²）的条件下</w:t>
      </w:r>
      <w:r>
        <w:rPr>
          <w:rFonts w:hint="eastAsia" w:ascii="宋体" w:hAnsi="宋体" w:cs="宋体"/>
          <w:i w:val="0"/>
          <w:iCs w:val="0"/>
          <w:caps w:val="0"/>
          <w:color w:val="0F1115"/>
          <w:spacing w:val="0"/>
          <w:sz w:val="21"/>
          <w:szCs w:val="21"/>
          <w:shd w:val="clear" w:fill="FFFFFF"/>
          <w:lang w:val="en-US" w:eastAsia="zh-CN"/>
        </w:rPr>
        <w:t>进行：</w:t>
      </w:r>
    </w:p>
    <w:p w14:paraId="451A98E5">
      <w:pPr>
        <w:pStyle w:val="61"/>
        <w:numPr>
          <w:ilvl w:val="0"/>
          <w:numId w:val="37"/>
        </w:numPr>
        <w:rPr>
          <w:rFonts w:hint="eastAsia" w:ascii="宋体" w:hAnsi="宋体" w:eastAsia="宋体" w:cs="宋体"/>
          <w:sz w:val="21"/>
          <w:szCs w:val="21"/>
          <w:lang w:eastAsia="zh-CN"/>
        </w:rPr>
      </w:pPr>
      <w:r>
        <w:rPr>
          <w:rFonts w:hint="eastAsia" w:ascii="宋体" w:hAnsi="宋体" w:eastAsia="宋体" w:cs="宋体"/>
          <w:sz w:val="21"/>
          <w:szCs w:val="21"/>
          <w:lang w:val="en-US" w:eastAsia="zh-CN"/>
        </w:rPr>
        <w:t>使用</w:t>
      </w:r>
      <w:r>
        <w:rPr>
          <w:rFonts w:hint="eastAsia" w:ascii="宋体" w:hAnsi="宋体" w:eastAsia="宋体" w:cs="宋体"/>
          <w:sz w:val="21"/>
          <w:szCs w:val="21"/>
        </w:rPr>
        <w:t>逆反射测量仪，在粗管段各色反光膜区域均匀选取不少于5个测量点，测量逆反射系数并取各色区域最小值作为判定值</w:t>
      </w:r>
      <w:r>
        <w:rPr>
          <w:rFonts w:hint="eastAsia" w:ascii="宋体" w:hAnsi="宋体" w:eastAsia="宋体" w:cs="宋体"/>
          <w:sz w:val="21"/>
          <w:szCs w:val="21"/>
          <w:lang w:eastAsia="zh-CN"/>
        </w:rPr>
        <w:t>；</w:t>
      </w:r>
    </w:p>
    <w:p w14:paraId="2062656F">
      <w:pPr>
        <w:pStyle w:val="61"/>
        <w:numPr>
          <w:ilvl w:val="0"/>
          <w:numId w:val="37"/>
        </w:numPr>
        <w:rPr>
          <w:rFonts w:hint="eastAsia" w:ascii="宋体" w:hAnsi="宋体" w:eastAsia="宋体" w:cs="宋体"/>
          <w:sz w:val="21"/>
          <w:szCs w:val="21"/>
          <w:lang w:eastAsia="zh-CN"/>
        </w:rPr>
      </w:pPr>
      <w:r>
        <w:rPr>
          <w:rFonts w:hint="eastAsia" w:ascii="宋体" w:hAnsi="宋体" w:eastAsia="宋体" w:cs="宋体"/>
          <w:sz w:val="21"/>
          <w:szCs w:val="21"/>
        </w:rPr>
        <w:t>在自然光或照度不低于300lx的条件下目视检查反光膜是否粘贴牢固、有无气泡脱落褶皱、色带是否清晰醒目</w:t>
      </w:r>
      <w:r>
        <w:rPr>
          <w:rFonts w:hint="eastAsia" w:ascii="宋体" w:hAnsi="宋体" w:eastAsia="宋体" w:cs="宋体"/>
          <w:sz w:val="21"/>
          <w:szCs w:val="21"/>
          <w:lang w:eastAsia="zh-CN"/>
        </w:rPr>
        <w:t>；</w:t>
      </w:r>
    </w:p>
    <w:p w14:paraId="45E63F7D">
      <w:pPr>
        <w:pStyle w:val="61"/>
        <w:numPr>
          <w:ilvl w:val="0"/>
          <w:numId w:val="37"/>
        </w:numPr>
        <w:rPr>
          <w:rFonts w:hint="eastAsia" w:ascii="宋体" w:hAnsi="宋体" w:eastAsia="宋体" w:cs="宋体"/>
          <w:sz w:val="21"/>
          <w:szCs w:val="21"/>
          <w:lang w:val="en-US" w:eastAsia="zh-CN"/>
        </w:rPr>
      </w:pPr>
      <w:r>
        <w:rPr>
          <w:rFonts w:hint="eastAsia" w:ascii="宋体" w:hAnsi="宋体" w:eastAsia="宋体" w:cs="宋体"/>
          <w:sz w:val="21"/>
          <w:szCs w:val="21"/>
        </w:rPr>
        <w:t>使用精度不低于0.02mm的游标卡尺测量单色带宽度</w:t>
      </w:r>
      <w:r>
        <w:rPr>
          <w:rFonts w:hint="eastAsia" w:ascii="宋体" w:hAnsi="宋体" w:eastAsia="宋体" w:cs="宋体"/>
          <w:sz w:val="21"/>
          <w:szCs w:val="21"/>
          <w:lang w:eastAsia="zh-CN"/>
        </w:rPr>
        <w:t>。</w:t>
      </w:r>
    </w:p>
    <w:p w14:paraId="7A2B8545">
      <w:pPr>
        <w:pStyle w:val="110"/>
        <w:numPr>
          <w:ilvl w:val="2"/>
          <w:numId w:val="2"/>
        </w:numPr>
        <w:spacing w:before="120" w:after="120"/>
        <w:rPr>
          <w:rFonts w:hint="eastAsia" w:hAnsi="Times New Roman" w:cs="Times New Roman"/>
          <w:lang w:val="en-US" w:eastAsia="zh-CN"/>
        </w:rPr>
      </w:pPr>
      <w:bookmarkStart w:id="120" w:name="_Toc8191"/>
      <w:bookmarkStart w:id="121" w:name="_Toc29883"/>
      <w:bookmarkStart w:id="122" w:name="_Toc14876"/>
      <w:r>
        <w:rPr>
          <w:rFonts w:hint="eastAsia" w:cs="Times New Roman"/>
          <w:lang w:val="en-US" w:eastAsia="zh-CN"/>
        </w:rPr>
        <w:t>环境适应性试验</w:t>
      </w:r>
      <w:bookmarkEnd w:id="120"/>
    </w:p>
    <w:p w14:paraId="2C2B638A">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6.</w:t>
      </w:r>
      <w:r>
        <w:rPr>
          <w:rFonts w:hint="eastAsia" w:hAnsi="宋体" w:cs="宋体"/>
          <w:lang w:val="en-US" w:eastAsia="zh-CN"/>
        </w:rPr>
        <w:t>7</w:t>
      </w:r>
      <w:r>
        <w:rPr>
          <w:rFonts w:hint="eastAsia" w:ascii="宋体" w:hAnsi="宋体" w:eastAsia="宋体" w:cs="宋体"/>
          <w:lang w:val="en-US" w:eastAsia="zh-CN"/>
        </w:rPr>
        <w:t>.1 耐低温性能试验</w:t>
      </w:r>
    </w:p>
    <w:p w14:paraId="6C6EF36B">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试验应按</w:t>
      </w:r>
      <w:r>
        <w:rPr>
          <w:rFonts w:hint="eastAsia" w:ascii="宋体" w:hAnsi="宋体" w:eastAsia="宋体" w:cs="宋体"/>
        </w:rPr>
        <w:t>GB/T 23711.2</w:t>
      </w:r>
      <w:r>
        <w:rPr>
          <w:rFonts w:hint="eastAsia" w:ascii="宋体" w:hAnsi="宋体" w:eastAsia="宋体" w:cs="宋体"/>
          <w:sz w:val="21"/>
          <w:szCs w:val="21"/>
          <w:lang w:val="en-US" w:eastAsia="zh-CN"/>
        </w:rPr>
        <w:t>规定的方法执行。</w:t>
      </w:r>
    </w:p>
    <w:p w14:paraId="0FF37A25">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hAnsi="宋体" w:cs="宋体"/>
          <w:sz w:val="21"/>
          <w:szCs w:val="21"/>
          <w:lang w:val="en-US" w:eastAsia="zh-CN"/>
        </w:rPr>
        <w:t>.7.</w:t>
      </w:r>
      <w:r>
        <w:rPr>
          <w:rFonts w:hint="eastAsia" w:ascii="宋体" w:hAnsi="宋体" w:eastAsia="宋体" w:cs="宋体"/>
          <w:sz w:val="21"/>
          <w:szCs w:val="21"/>
          <w:lang w:val="en-US" w:eastAsia="zh-CN"/>
        </w:rPr>
        <w:t>2 耐高温性能试验</w:t>
      </w:r>
    </w:p>
    <w:p w14:paraId="4841A162">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试验应按</w:t>
      </w:r>
      <w:r>
        <w:rPr>
          <w:rFonts w:hint="eastAsia" w:ascii="宋体" w:hAnsi="宋体" w:eastAsia="宋体" w:cs="宋体"/>
        </w:rPr>
        <w:t>GB/T 23711.3</w:t>
      </w:r>
      <w:r>
        <w:rPr>
          <w:rFonts w:hint="eastAsia" w:ascii="宋体" w:hAnsi="宋体" w:eastAsia="宋体" w:cs="宋体"/>
          <w:sz w:val="21"/>
          <w:szCs w:val="21"/>
          <w:lang w:val="en-US" w:eastAsia="zh-CN"/>
        </w:rPr>
        <w:t>规定的方法执行。</w:t>
      </w:r>
    </w:p>
    <w:p w14:paraId="402D7BE1">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6.</w:t>
      </w:r>
      <w:r>
        <w:rPr>
          <w:rFonts w:hint="eastAsia" w:hAnsi="宋体" w:cs="宋体"/>
          <w:lang w:val="en-US" w:eastAsia="zh-CN"/>
        </w:rPr>
        <w:t>7</w:t>
      </w:r>
      <w:r>
        <w:rPr>
          <w:rFonts w:hint="eastAsia" w:ascii="宋体" w:hAnsi="宋体" w:eastAsia="宋体" w:cs="宋体"/>
          <w:lang w:val="en-US" w:eastAsia="zh-CN"/>
        </w:rPr>
        <w:t>.3 耐老化性能试验</w:t>
      </w:r>
    </w:p>
    <w:p w14:paraId="26D6EE65">
      <w:pPr>
        <w:pStyle w:val="246"/>
        <w:keepNext w:val="0"/>
        <w:keepLines w:val="0"/>
        <w:pageBreakBefore w:val="0"/>
        <w:framePr w:hSpace="0" w:vSpace="0" w:wrap="auto" w:vAnchor="margin" w:hAnchor="text" w:xAlign="left" w:yAlign="inline"/>
        <w:widowControl w:val="0"/>
        <w:kinsoku/>
        <w:wordWrap/>
        <w:overflowPunct/>
        <w:topLinePunct w:val="0"/>
        <w:autoSpaceDE/>
        <w:autoSpaceDN/>
        <w:bidi w:val="0"/>
        <w:adjustRightInd w:val="0"/>
        <w:snapToGrid/>
        <w:spacing w:line="240" w:lineRule="auto"/>
        <w:ind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试验应按GB/T 16422.2规定的方法执行。</w:t>
      </w:r>
    </w:p>
    <w:p w14:paraId="453C7DC0">
      <w:pPr>
        <w:pStyle w:val="109"/>
        <w:numPr>
          <w:ilvl w:val="1"/>
          <w:numId w:val="2"/>
        </w:numPr>
        <w:spacing w:before="240" w:after="240"/>
        <w:ind w:left="0" w:firstLine="0"/>
      </w:pPr>
      <w:bookmarkStart w:id="123" w:name="_Toc5691"/>
      <w:r>
        <w:rPr>
          <w:rFonts w:hint="eastAsia"/>
        </w:rPr>
        <w:t>检验规则</w:t>
      </w:r>
      <w:bookmarkEnd w:id="121"/>
      <w:bookmarkEnd w:id="122"/>
      <w:bookmarkEnd w:id="123"/>
    </w:p>
    <w:p w14:paraId="3CB109B7">
      <w:pPr>
        <w:pStyle w:val="110"/>
        <w:numPr>
          <w:ilvl w:val="2"/>
          <w:numId w:val="2"/>
        </w:numPr>
        <w:spacing w:before="120" w:after="120"/>
        <w:rPr>
          <w:rFonts w:hint="eastAsia" w:hAnsi="Times New Roman" w:cs="Times New Roman"/>
          <w:lang w:val="en-US" w:eastAsia="zh-CN"/>
        </w:rPr>
      </w:pPr>
      <w:bookmarkStart w:id="124" w:name="_Toc13042"/>
      <w:bookmarkStart w:id="125" w:name="_Toc22366"/>
      <w:bookmarkStart w:id="126" w:name="_Toc21802"/>
      <w:bookmarkStart w:id="127" w:name="_Toc13731"/>
      <w:bookmarkStart w:id="128" w:name="_Toc21586"/>
      <w:bookmarkStart w:id="129" w:name="_Toc32237"/>
      <w:bookmarkStart w:id="130" w:name="_Toc26414"/>
      <w:r>
        <w:rPr>
          <w:rFonts w:hint="eastAsia" w:hAnsi="Times New Roman" w:cs="Times New Roman"/>
          <w:lang w:val="en-US" w:eastAsia="zh-CN"/>
        </w:rPr>
        <w:t>检验分类</w:t>
      </w:r>
      <w:bookmarkEnd w:id="124"/>
      <w:bookmarkEnd w:id="125"/>
      <w:bookmarkEnd w:id="126"/>
      <w:bookmarkEnd w:id="127"/>
      <w:bookmarkEnd w:id="128"/>
      <w:bookmarkEnd w:id="129"/>
      <w:bookmarkEnd w:id="130"/>
    </w:p>
    <w:p w14:paraId="6ECE789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本文件要求的检验分为出厂检验和型式检验两类。</w:t>
      </w:r>
    </w:p>
    <w:p w14:paraId="7A74BB38">
      <w:pPr>
        <w:pStyle w:val="110"/>
        <w:numPr>
          <w:ilvl w:val="2"/>
          <w:numId w:val="2"/>
        </w:numPr>
        <w:spacing w:before="120" w:after="120"/>
        <w:rPr>
          <w:rFonts w:hint="eastAsia" w:hAnsi="Times New Roman" w:cs="Times New Roman"/>
          <w:lang w:val="en-US" w:eastAsia="zh-CN"/>
        </w:rPr>
      </w:pPr>
      <w:bookmarkStart w:id="131" w:name="_Toc25862"/>
      <w:bookmarkStart w:id="132" w:name="_Toc4395"/>
      <w:bookmarkStart w:id="133" w:name="_Toc23268"/>
      <w:bookmarkStart w:id="134" w:name="_Toc16600"/>
      <w:bookmarkStart w:id="135" w:name="_Toc17157"/>
      <w:r>
        <w:rPr>
          <w:rFonts w:hint="eastAsia" w:hAnsi="Times New Roman" w:cs="Times New Roman"/>
          <w:lang w:val="en-US" w:eastAsia="zh-CN"/>
        </w:rPr>
        <w:t>出厂检验</w:t>
      </w:r>
      <w:bookmarkEnd w:id="131"/>
      <w:bookmarkEnd w:id="132"/>
      <w:bookmarkEnd w:id="133"/>
      <w:bookmarkEnd w:id="134"/>
      <w:bookmarkEnd w:id="135"/>
    </w:p>
    <w:p w14:paraId="2E3CEE90">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7.2.1 每批产品应经制造厂质量检验部门检验合格，并附有产品质量合格证方可出厂。</w:t>
      </w:r>
    </w:p>
    <w:p w14:paraId="1EAE9C9E">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7.2.2 出厂检验应按GB/T 2828.1的规定进行抽样，采用正常检验一次抽样方案，一般检验水平Ⅱ，接收质量限（AQL）为2.5。</w:t>
      </w:r>
    </w:p>
    <w:p w14:paraId="4D969DDD">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eastAsia="宋体" w:cs="宋体"/>
          <w:sz w:val="21"/>
          <w:lang w:val="en-US" w:eastAsia="zh-CN" w:bidi="ar-SA"/>
        </w:rPr>
      </w:pPr>
      <w:r>
        <w:rPr>
          <w:rFonts w:hint="eastAsia" w:ascii="宋体" w:hAnsi="宋体" w:eastAsia="宋体" w:cs="宋体"/>
          <w:lang w:val="en-US" w:eastAsia="zh-CN"/>
        </w:rPr>
        <w:t>7.2.3 出厂</w:t>
      </w:r>
      <w:r>
        <w:rPr>
          <w:rFonts w:hint="eastAsia" w:ascii="宋体" w:hAnsi="宋体" w:eastAsia="宋体" w:cs="宋体"/>
          <w:sz w:val="21"/>
          <w:lang w:val="en-US" w:eastAsia="zh-CN" w:bidi="ar-SA"/>
        </w:rPr>
        <w:t>检验</w:t>
      </w:r>
      <w:r>
        <w:rPr>
          <w:rFonts w:hint="eastAsia" w:ascii="宋体" w:hAnsi="宋体" w:cs="宋体"/>
          <w:sz w:val="21"/>
          <w:lang w:val="en-US" w:eastAsia="zh-CN" w:bidi="ar-SA"/>
        </w:rPr>
        <w:t>项目应包括外观与尺寸要求</w:t>
      </w:r>
      <w:r>
        <w:rPr>
          <w:rFonts w:hint="eastAsia" w:ascii="宋体" w:hAnsi="宋体" w:eastAsia="宋体" w:cs="宋体"/>
          <w:sz w:val="21"/>
          <w:lang w:val="en-US" w:eastAsia="zh-CN" w:bidi="ar-SA"/>
        </w:rPr>
        <w:t>，并按对应的试验方法进行检验。</w:t>
      </w:r>
    </w:p>
    <w:p w14:paraId="50D93AB8">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7.2.4 出厂检验的批量应以同一原料、同一配方、同一工艺条件连续生产的同一规格产品为一检验批，每批数量不超过5000根。</w:t>
      </w:r>
    </w:p>
    <w:p w14:paraId="5772B994">
      <w:pPr>
        <w:pStyle w:val="110"/>
        <w:numPr>
          <w:ilvl w:val="2"/>
          <w:numId w:val="2"/>
        </w:numPr>
        <w:spacing w:before="120" w:after="120"/>
        <w:rPr>
          <w:rFonts w:hint="eastAsia" w:hAnsi="Times New Roman" w:cs="Times New Roman"/>
          <w:lang w:val="en-US" w:eastAsia="zh-CN"/>
        </w:rPr>
      </w:pPr>
      <w:bookmarkStart w:id="136" w:name="_Toc10737"/>
      <w:bookmarkStart w:id="137" w:name="_Toc12774"/>
      <w:bookmarkStart w:id="138" w:name="_Toc14006"/>
      <w:bookmarkStart w:id="139" w:name="_Toc16001"/>
      <w:bookmarkStart w:id="140" w:name="_Toc23508"/>
      <w:bookmarkStart w:id="141" w:name="_Toc2313"/>
      <w:bookmarkStart w:id="142" w:name="_Toc26023"/>
      <w:bookmarkStart w:id="143" w:name="_Toc30059"/>
      <w:bookmarkStart w:id="144" w:name="_Toc889"/>
      <w:r>
        <w:rPr>
          <w:rFonts w:hint="eastAsia" w:hAnsi="Times New Roman" w:cs="Times New Roman"/>
          <w:lang w:val="en-US" w:eastAsia="zh-CN"/>
        </w:rPr>
        <w:t>型式检验</w:t>
      </w:r>
      <w:bookmarkEnd w:id="136"/>
      <w:bookmarkEnd w:id="137"/>
      <w:bookmarkEnd w:id="138"/>
      <w:bookmarkEnd w:id="139"/>
      <w:bookmarkEnd w:id="140"/>
      <w:bookmarkEnd w:id="141"/>
      <w:bookmarkEnd w:id="142"/>
    </w:p>
    <w:p w14:paraId="6746533B">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7.3.1 检验时机</w:t>
      </w:r>
    </w:p>
    <w:p w14:paraId="0FF3F0E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有下列情形之一时，应进行型式检验：</w:t>
      </w:r>
    </w:p>
    <w:p w14:paraId="0A7400C3">
      <w:pPr>
        <w:pStyle w:val="61"/>
        <w:keepNext w:val="0"/>
        <w:keepLines w:val="0"/>
        <w:pageBreakBefore w:val="0"/>
        <w:widowControl/>
        <w:numPr>
          <w:ilvl w:val="0"/>
          <w:numId w:val="38"/>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新产品或老产品转厂生产的试制定型鉴定时；</w:t>
      </w:r>
    </w:p>
    <w:p w14:paraId="6598E73B">
      <w:pPr>
        <w:pStyle w:val="61"/>
        <w:keepNext w:val="0"/>
        <w:keepLines w:val="0"/>
        <w:pageBreakBefore w:val="0"/>
        <w:widowControl/>
        <w:numPr>
          <w:ilvl w:val="0"/>
          <w:numId w:val="38"/>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正式生产后，如材料、结构、工艺有较大改变，可能影响产品性能时；</w:t>
      </w:r>
    </w:p>
    <w:p w14:paraId="01D535C8">
      <w:pPr>
        <w:pStyle w:val="61"/>
        <w:keepNext w:val="0"/>
        <w:keepLines w:val="0"/>
        <w:pageBreakBefore w:val="0"/>
        <w:widowControl/>
        <w:numPr>
          <w:ilvl w:val="0"/>
          <w:numId w:val="38"/>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正常生产时，每两年至少进行一次（周期性检验）；</w:t>
      </w:r>
    </w:p>
    <w:p w14:paraId="027215D5">
      <w:pPr>
        <w:pStyle w:val="61"/>
        <w:keepNext w:val="0"/>
        <w:keepLines w:val="0"/>
        <w:pageBreakBefore w:val="0"/>
        <w:widowControl/>
        <w:numPr>
          <w:ilvl w:val="0"/>
          <w:numId w:val="38"/>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产品停产一年以上，恢复生产时；</w:t>
      </w:r>
    </w:p>
    <w:p w14:paraId="68832375">
      <w:pPr>
        <w:pStyle w:val="61"/>
        <w:keepNext w:val="0"/>
        <w:keepLines w:val="0"/>
        <w:pageBreakBefore w:val="0"/>
        <w:widowControl/>
        <w:numPr>
          <w:ilvl w:val="0"/>
          <w:numId w:val="38"/>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出厂检验结果与上次型式检验有较大差异时；</w:t>
      </w:r>
    </w:p>
    <w:p w14:paraId="7CCB5A83">
      <w:pPr>
        <w:pStyle w:val="61"/>
        <w:keepNext w:val="0"/>
        <w:keepLines w:val="0"/>
        <w:pageBreakBefore w:val="0"/>
        <w:widowControl/>
        <w:numPr>
          <w:ilvl w:val="0"/>
          <w:numId w:val="38"/>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国家质量监督机构提出进行型式检验要求时。</w:t>
      </w:r>
    </w:p>
    <w:p w14:paraId="767D2BAB">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7.3.</w:t>
      </w:r>
      <w:r>
        <w:rPr>
          <w:rFonts w:hint="eastAsia" w:hAnsi="宋体" w:cs="宋体"/>
          <w:lang w:val="en-US" w:eastAsia="zh-CN"/>
        </w:rPr>
        <w:t>2</w:t>
      </w:r>
      <w:r>
        <w:rPr>
          <w:rFonts w:hint="eastAsia" w:ascii="宋体" w:hAnsi="宋体" w:eastAsia="宋体" w:cs="宋体"/>
          <w:lang w:val="en-US" w:eastAsia="zh-CN"/>
        </w:rPr>
        <w:t xml:space="preserve"> 抽样规则</w:t>
      </w:r>
    </w:p>
    <w:p w14:paraId="20B28B6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型式检验的样品应从出厂检验合格的产品中随机抽取，每批抽取不少于3根。</w:t>
      </w:r>
    </w:p>
    <w:p w14:paraId="320C4842">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7.3.</w:t>
      </w:r>
      <w:r>
        <w:rPr>
          <w:rFonts w:hint="eastAsia" w:hAnsi="宋体" w:cs="宋体"/>
          <w:lang w:val="en-US" w:eastAsia="zh-CN"/>
        </w:rPr>
        <w:t>3</w:t>
      </w:r>
      <w:r>
        <w:rPr>
          <w:rFonts w:hint="eastAsia" w:ascii="宋体" w:hAnsi="宋体" w:eastAsia="宋体" w:cs="宋体"/>
          <w:lang w:val="en-US" w:eastAsia="zh-CN"/>
        </w:rPr>
        <w:t xml:space="preserve"> 判定规则及处理措施</w:t>
      </w:r>
    </w:p>
    <w:bookmarkEnd w:id="143"/>
    <w:bookmarkEnd w:id="144"/>
    <w:p w14:paraId="7806D0F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hAnsi="宋体" w:cs="宋体"/>
          <w:lang w:val="en-US" w:eastAsia="zh-CN"/>
        </w:rPr>
      </w:pPr>
      <w:bookmarkStart w:id="145" w:name="_Toc4365"/>
      <w:bookmarkStart w:id="146" w:name="_Toc28912"/>
      <w:bookmarkStart w:id="147" w:name="_Toc25505"/>
      <w:bookmarkStart w:id="148" w:name="_Toc14593"/>
      <w:bookmarkStart w:id="149" w:name="_Toc11482"/>
      <w:r>
        <w:rPr>
          <w:rFonts w:hint="eastAsia" w:hAnsi="宋体" w:cs="宋体"/>
          <w:lang w:val="en-US" w:eastAsia="zh-CN"/>
        </w:rPr>
        <w:t>型式检验不合格的批次，应按以下规定进行处置：</w:t>
      </w:r>
    </w:p>
    <w:p w14:paraId="68F1DF37">
      <w:pPr>
        <w:pStyle w:val="61"/>
        <w:keepNext w:val="0"/>
        <w:keepLines w:val="0"/>
        <w:pageBreakBefore w:val="0"/>
        <w:widowControl/>
        <w:numPr>
          <w:ilvl w:val="0"/>
          <w:numId w:val="39"/>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报废处理：因电气绝缘性要求或燃烧性要求不合格而判定型式检验不合格的批次，应作报废处理，不得返工，不得出厂销售</w:t>
      </w:r>
      <w:r>
        <w:rPr>
          <w:rFonts w:hint="eastAsia" w:hAnsi="宋体" w:cs="宋体"/>
          <w:sz w:val="21"/>
          <w:lang w:val="en-US" w:eastAsia="zh-CN" w:bidi="ar-SA"/>
        </w:rPr>
        <w:t>；</w:t>
      </w:r>
    </w:p>
    <w:p w14:paraId="0548FF18">
      <w:pPr>
        <w:pStyle w:val="61"/>
        <w:keepNext w:val="0"/>
        <w:keepLines w:val="0"/>
        <w:pageBreakBefore w:val="0"/>
        <w:widowControl/>
        <w:numPr>
          <w:ilvl w:val="0"/>
          <w:numId w:val="39"/>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返工处理：因5外观与尺寸要求、物理机械性能要求、反光警示膜性能要求或环境适应性要求不合格，且经加倍抽样复检仍不合格的批次，可进行返工处理</w:t>
      </w:r>
      <w:r>
        <w:rPr>
          <w:rFonts w:hint="eastAsia" w:ascii="宋体" w:hAnsi="宋体" w:eastAsia="宋体" w:cs="宋体"/>
          <w:sz w:val="21"/>
          <w:lang w:val="en-US" w:eastAsia="zh-CN" w:bidi="ar-SA"/>
        </w:rPr>
        <w:fldChar w:fldCharType="begin"/>
      </w:r>
      <w:r>
        <w:rPr>
          <w:rFonts w:hint="eastAsia" w:ascii="宋体" w:hAnsi="宋体" w:eastAsia="宋体" w:cs="宋体"/>
          <w:sz w:val="21"/>
          <w:lang w:val="en-US" w:eastAsia="zh-CN" w:bidi="ar-SA"/>
        </w:rPr>
        <w:instrText xml:space="preserve"> HYPERLINK "https://gf.cabr-fire.com/m/article-26081.htm" \t "https://chat.deepseek.com/a/chat/s/_blank" </w:instrText>
      </w:r>
      <w:r>
        <w:rPr>
          <w:rFonts w:hint="eastAsia" w:ascii="宋体" w:hAnsi="宋体" w:eastAsia="宋体" w:cs="宋体"/>
          <w:sz w:val="21"/>
          <w:lang w:val="en-US" w:eastAsia="zh-CN" w:bidi="ar-SA"/>
        </w:rPr>
        <w:fldChar w:fldCharType="separate"/>
      </w:r>
      <w:r>
        <w:rPr>
          <w:rFonts w:hint="eastAsia" w:ascii="宋体" w:hAnsi="宋体" w:eastAsia="宋体" w:cs="宋体"/>
          <w:sz w:val="21"/>
          <w:lang w:val="en-US" w:eastAsia="zh-CN" w:bidi="ar-SA"/>
        </w:rPr>
        <w:fldChar w:fldCharType="end"/>
      </w:r>
      <w:r>
        <w:rPr>
          <w:rFonts w:hint="eastAsia" w:hAnsi="宋体" w:cs="宋体"/>
          <w:sz w:val="21"/>
          <w:lang w:val="en-US" w:eastAsia="zh-CN" w:bidi="ar-SA"/>
        </w:rPr>
        <w:t>；</w:t>
      </w:r>
      <w:r>
        <w:rPr>
          <w:rFonts w:hint="eastAsia" w:ascii="宋体" w:hAnsi="宋体" w:eastAsia="宋体" w:cs="宋体"/>
          <w:sz w:val="21"/>
          <w:lang w:val="en-US" w:eastAsia="zh-CN" w:bidi="ar-SA"/>
        </w:rPr>
        <w:t>返工后应重新进行出厂检验和型式检验，检验合格后方可出厂</w:t>
      </w:r>
      <w:r>
        <w:rPr>
          <w:rFonts w:hint="eastAsia" w:hAnsi="宋体" w:cs="宋体"/>
          <w:sz w:val="21"/>
          <w:lang w:val="en-US" w:eastAsia="zh-CN" w:bidi="ar-SA"/>
        </w:rPr>
        <w:t>；</w:t>
      </w:r>
      <w:r>
        <w:rPr>
          <w:rFonts w:hint="eastAsia" w:ascii="宋体" w:hAnsi="宋体" w:eastAsia="宋体" w:cs="宋体"/>
          <w:sz w:val="21"/>
          <w:lang w:val="en-US" w:eastAsia="zh-CN" w:bidi="ar-SA"/>
        </w:rPr>
        <w:t>经返工后检验仍不合格的，应作报废处理</w:t>
      </w:r>
      <w:r>
        <w:rPr>
          <w:rFonts w:hint="eastAsia" w:hAnsi="宋体" w:cs="宋体"/>
          <w:sz w:val="21"/>
          <w:lang w:val="en-US" w:eastAsia="zh-CN" w:bidi="ar-SA"/>
        </w:rPr>
        <w:t>；</w:t>
      </w:r>
    </w:p>
    <w:p w14:paraId="1CC567A1">
      <w:pPr>
        <w:pStyle w:val="61"/>
        <w:keepNext w:val="0"/>
        <w:keepLines w:val="0"/>
        <w:pageBreakBefore w:val="0"/>
        <w:widowControl/>
        <w:numPr>
          <w:ilvl w:val="0"/>
          <w:numId w:val="39"/>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返工限制：经返工处理的产品，其返工工艺不应降低产品的安全性能和使用寿命</w:t>
      </w:r>
      <w:r>
        <w:rPr>
          <w:rFonts w:hint="eastAsia" w:hAnsi="宋体" w:cs="宋体"/>
          <w:sz w:val="21"/>
          <w:lang w:val="en-US" w:eastAsia="zh-CN" w:bidi="ar-SA"/>
        </w:rPr>
        <w:t>；</w:t>
      </w:r>
      <w:r>
        <w:rPr>
          <w:rFonts w:hint="eastAsia" w:ascii="宋体" w:hAnsi="宋体" w:eastAsia="宋体" w:cs="宋体"/>
          <w:sz w:val="21"/>
          <w:lang w:val="en-US" w:eastAsia="zh-CN" w:bidi="ar-SA"/>
        </w:rPr>
        <w:t>返工后产品的外观、尺寸及各项性能指标仍应符合本文件第5章的全部要求</w:t>
      </w:r>
      <w:r>
        <w:rPr>
          <w:rFonts w:hint="eastAsia" w:hAnsi="宋体" w:cs="宋体"/>
          <w:sz w:val="21"/>
          <w:lang w:val="en-US" w:eastAsia="zh-CN" w:bidi="ar-SA"/>
        </w:rPr>
        <w:t>；</w:t>
      </w:r>
      <w:bookmarkStart w:id="180" w:name="_GoBack"/>
      <w:bookmarkEnd w:id="180"/>
    </w:p>
    <w:p w14:paraId="190DCC18">
      <w:pPr>
        <w:pStyle w:val="61"/>
        <w:keepNext w:val="0"/>
        <w:keepLines w:val="0"/>
        <w:pageBreakBefore w:val="0"/>
        <w:widowControl/>
        <w:numPr>
          <w:ilvl w:val="0"/>
          <w:numId w:val="39"/>
        </w:numPr>
        <w:kinsoku/>
        <w:wordWrap/>
        <w:overflowPunct/>
        <w:topLinePunct w:val="0"/>
        <w:autoSpaceDE w:val="0"/>
        <w:autoSpaceDN w:val="0"/>
        <w:bidi w:val="0"/>
        <w:adjustRightInd/>
        <w:snapToGrid/>
        <w:ind w:firstLine="420" w:firstLineChars="200"/>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记录与追溯：所有不合格品的处置（包括报废和返工）应留有记录，记录内容应包括不合格项目、处置方式、处置日期、操作人员及检验人员签字，以便追溯。</w:t>
      </w:r>
    </w:p>
    <w:bookmarkEnd w:id="145"/>
    <w:bookmarkEnd w:id="146"/>
    <w:bookmarkEnd w:id="147"/>
    <w:bookmarkEnd w:id="148"/>
    <w:bookmarkEnd w:id="149"/>
    <w:p w14:paraId="3331254F">
      <w:pPr>
        <w:pStyle w:val="109"/>
        <w:keepNext w:val="0"/>
        <w:keepLines w:val="0"/>
        <w:pageBreakBefore w:val="0"/>
        <w:widowControl/>
        <w:numPr>
          <w:ilvl w:val="1"/>
          <w:numId w:val="2"/>
        </w:numPr>
        <w:kinsoku/>
        <w:wordWrap/>
        <w:overflowPunct/>
        <w:topLinePunct w:val="0"/>
        <w:autoSpaceDE/>
        <w:autoSpaceDN/>
        <w:bidi w:val="0"/>
        <w:adjustRightInd/>
        <w:snapToGrid/>
        <w:spacing w:before="240" w:after="240"/>
        <w:ind w:left="0" w:firstLine="0"/>
        <w:textAlignment w:val="auto"/>
      </w:pPr>
      <w:bookmarkStart w:id="150" w:name="_Toc25143"/>
      <w:bookmarkStart w:id="151" w:name="_Toc31428"/>
      <w:bookmarkStart w:id="152" w:name="_Toc5372"/>
      <w:bookmarkStart w:id="153" w:name="_Toc15135"/>
      <w:bookmarkStart w:id="154" w:name="_Toc7323"/>
      <w:bookmarkStart w:id="155" w:name="_Toc19233"/>
      <w:bookmarkStart w:id="156" w:name="_Toc25860"/>
      <w:bookmarkStart w:id="157" w:name="_Toc20326"/>
      <w:bookmarkStart w:id="158" w:name="_Toc32045"/>
      <w:r>
        <w:rPr>
          <w:rFonts w:hint="eastAsia"/>
        </w:rPr>
        <w:t>标志、包装、运输</w:t>
      </w:r>
      <w:r>
        <w:rPr>
          <w:rFonts w:hint="eastAsia"/>
          <w:lang w:val="en-US" w:eastAsia="zh-CN"/>
        </w:rPr>
        <w:t>与</w:t>
      </w:r>
      <w:r>
        <w:rPr>
          <w:rFonts w:hint="eastAsia"/>
        </w:rPr>
        <w:t>贮存</w:t>
      </w:r>
      <w:bookmarkEnd w:id="150"/>
      <w:bookmarkEnd w:id="151"/>
      <w:bookmarkEnd w:id="152"/>
    </w:p>
    <w:bookmarkEnd w:id="153"/>
    <w:bookmarkEnd w:id="154"/>
    <w:bookmarkEnd w:id="155"/>
    <w:bookmarkEnd w:id="156"/>
    <w:bookmarkEnd w:id="157"/>
    <w:bookmarkEnd w:id="158"/>
    <w:p w14:paraId="7F711ED6">
      <w:pPr>
        <w:pStyle w:val="110"/>
        <w:numPr>
          <w:ilvl w:val="2"/>
          <w:numId w:val="2"/>
        </w:numPr>
        <w:spacing w:before="120" w:after="120"/>
        <w:rPr>
          <w:rFonts w:hint="eastAsia" w:hAnsi="Times New Roman" w:cs="Times New Roman"/>
          <w:lang w:val="en-US" w:eastAsia="zh-CN"/>
        </w:rPr>
      </w:pPr>
      <w:bookmarkStart w:id="159" w:name="_Toc31880"/>
      <w:bookmarkStart w:id="160" w:name="_Toc820"/>
      <w:bookmarkStart w:id="161" w:name="_Toc2902"/>
      <w:bookmarkStart w:id="162" w:name="_Toc31513"/>
      <w:bookmarkStart w:id="163" w:name="_Toc13108"/>
      <w:r>
        <w:rPr>
          <w:rFonts w:hint="eastAsia" w:hAnsi="Times New Roman" w:cs="Times New Roman"/>
          <w:lang w:val="en-US" w:eastAsia="zh-CN"/>
        </w:rPr>
        <w:t>标志</w:t>
      </w:r>
      <w:bookmarkEnd w:id="159"/>
      <w:bookmarkEnd w:id="160"/>
      <w:bookmarkEnd w:id="161"/>
      <w:bookmarkEnd w:id="162"/>
    </w:p>
    <w:p w14:paraId="1A8E4913">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default" w:ascii="宋体" w:hAnsi="宋体" w:eastAsia="宋体" w:cs="宋体"/>
          <w:sz w:val="21"/>
          <w:lang w:val="en-US" w:eastAsia="zh-CN" w:bidi="ar-SA"/>
        </w:rPr>
      </w:pPr>
      <w:r>
        <w:rPr>
          <w:rFonts w:hint="eastAsia" w:ascii="宋体" w:hAnsi="宋体" w:eastAsia="宋体" w:cs="宋体"/>
          <w:sz w:val="21"/>
          <w:lang w:val="en-US" w:eastAsia="zh-CN" w:bidi="ar-SA"/>
        </w:rPr>
        <w:t>8.1.1 包装储运图示标志应符合GB/T 191的规定</w:t>
      </w:r>
      <w:r>
        <w:rPr>
          <w:rFonts w:hint="eastAsia" w:hAnsi="宋体" w:cs="宋体"/>
          <w:sz w:val="21"/>
          <w:lang w:val="en-US" w:eastAsia="zh-CN" w:bidi="ar-SA"/>
        </w:rPr>
        <w:t>。</w:t>
      </w:r>
    </w:p>
    <w:p w14:paraId="17C6FACD">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hAnsi="宋体" w:cs="宋体"/>
          <w:sz w:val="21"/>
          <w:lang w:val="en-US" w:eastAsia="zh-CN" w:bidi="ar-SA"/>
        </w:rPr>
        <w:t xml:space="preserve">8.1.2 </w:t>
      </w:r>
      <w:r>
        <w:rPr>
          <w:rFonts w:hint="eastAsia" w:ascii="宋体" w:hAnsi="宋体" w:eastAsia="宋体" w:cs="宋体"/>
          <w:sz w:val="21"/>
          <w:lang w:val="en-US" w:eastAsia="zh-CN" w:bidi="ar-SA"/>
        </w:rPr>
        <w:t>每根拉线保护套应在粗管段距端部200mm内的外表面显著位置，以喷码或热印方式标明产品名称及规格标记</w:t>
      </w:r>
      <w:r>
        <w:rPr>
          <w:rFonts w:hint="eastAsia" w:hAnsi="宋体" w:cs="宋体"/>
          <w:sz w:val="21"/>
          <w:lang w:val="en-US" w:eastAsia="zh-CN" w:bidi="ar-SA"/>
        </w:rPr>
        <w:t>、</w:t>
      </w:r>
      <w:r>
        <w:rPr>
          <w:rFonts w:hint="eastAsia" w:ascii="宋体" w:hAnsi="宋体" w:eastAsia="宋体" w:cs="宋体"/>
          <w:sz w:val="21"/>
          <w:lang w:val="en-US" w:eastAsia="zh-CN" w:bidi="ar-SA"/>
        </w:rPr>
        <w:t>制造厂名称或注册商标</w:t>
      </w:r>
      <w:r>
        <w:rPr>
          <w:rFonts w:hint="eastAsia" w:hAnsi="宋体" w:cs="宋体"/>
          <w:sz w:val="21"/>
          <w:lang w:val="en-US" w:eastAsia="zh-CN" w:bidi="ar-SA"/>
        </w:rPr>
        <w:t>、</w:t>
      </w:r>
      <w:r>
        <w:rPr>
          <w:rFonts w:hint="eastAsia" w:ascii="宋体" w:hAnsi="宋体" w:eastAsia="宋体" w:cs="宋体"/>
          <w:sz w:val="21"/>
          <w:lang w:val="en-US" w:eastAsia="zh-CN" w:bidi="ar-SA"/>
        </w:rPr>
        <w:t>生产日期（年/月/日）或批号</w:t>
      </w:r>
      <w:r>
        <w:rPr>
          <w:rFonts w:hint="eastAsia" w:hAnsi="宋体" w:cs="宋体"/>
          <w:sz w:val="21"/>
          <w:lang w:val="en-US" w:eastAsia="zh-CN" w:bidi="ar-SA"/>
        </w:rPr>
        <w:t>、</w:t>
      </w:r>
      <w:r>
        <w:rPr>
          <w:rFonts w:hint="eastAsia" w:ascii="宋体" w:hAnsi="宋体" w:eastAsia="宋体" w:cs="宋体"/>
          <w:sz w:val="21"/>
          <w:lang w:val="en-US" w:eastAsia="zh-CN" w:bidi="ar-SA"/>
        </w:rPr>
        <w:t>执行标准编号。</w:t>
      </w:r>
    </w:p>
    <w:p w14:paraId="045DC0DD">
      <w:pPr>
        <w:pStyle w:val="110"/>
        <w:numPr>
          <w:ilvl w:val="2"/>
          <w:numId w:val="2"/>
        </w:numPr>
        <w:spacing w:before="120" w:after="120"/>
        <w:rPr>
          <w:rFonts w:hint="eastAsia" w:hAnsi="Times New Roman" w:cs="Times New Roman"/>
          <w:lang w:val="en-US" w:eastAsia="zh-CN"/>
        </w:rPr>
      </w:pPr>
      <w:bookmarkStart w:id="164" w:name="_Toc6176"/>
      <w:bookmarkStart w:id="165" w:name="_Toc17473"/>
      <w:bookmarkStart w:id="166" w:name="_Toc8895"/>
      <w:bookmarkStart w:id="167" w:name="_Toc26567"/>
      <w:r>
        <w:rPr>
          <w:rFonts w:hint="eastAsia" w:hAnsi="Times New Roman" w:cs="Times New Roman"/>
          <w:lang w:val="en-US" w:eastAsia="zh-CN"/>
        </w:rPr>
        <w:t>包装</w:t>
      </w:r>
      <w:bookmarkEnd w:id="164"/>
      <w:bookmarkEnd w:id="165"/>
      <w:bookmarkEnd w:id="166"/>
      <w:bookmarkEnd w:id="167"/>
    </w:p>
    <w:p w14:paraId="77185BFD">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8.2.1 拉线保护套应按同一规格成捆包装，每捆数量不宜超过50根，捆扎应牢固，捆扎带与管材接触处应加垫软质衬垫，防止勒伤管壁。</w:t>
      </w:r>
    </w:p>
    <w:p w14:paraId="049F4123">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8.2.2 包装应牢固、防潮，外层宜采用编织布或塑料薄膜包裹，保证在正常运输和贮存条件下不损坏产品。</w:t>
      </w:r>
    </w:p>
    <w:p w14:paraId="71EA3DCA">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8.2.3</w:t>
      </w:r>
      <w:r>
        <w:rPr>
          <w:rFonts w:hint="eastAsia" w:hAnsi="宋体" w:cs="宋体"/>
          <w:sz w:val="21"/>
          <w:lang w:val="en-US" w:eastAsia="zh-CN" w:bidi="ar-SA"/>
        </w:rPr>
        <w:t xml:space="preserve"> </w:t>
      </w:r>
      <w:r>
        <w:rPr>
          <w:rFonts w:hint="eastAsia" w:ascii="宋体" w:hAnsi="宋体" w:eastAsia="宋体" w:cs="宋体"/>
          <w:sz w:val="21"/>
          <w:lang w:val="en-US" w:eastAsia="zh-CN" w:bidi="ar-SA"/>
        </w:rPr>
        <w:t>每捆包装内应附有产品质量合格证，合格证上应注明产品名称及规格</w:t>
      </w:r>
      <w:r>
        <w:rPr>
          <w:rFonts w:hint="eastAsia" w:hAnsi="宋体" w:cs="宋体"/>
          <w:sz w:val="21"/>
          <w:lang w:val="en-US" w:eastAsia="zh-CN" w:bidi="ar-SA"/>
        </w:rPr>
        <w:t>、</w:t>
      </w:r>
      <w:r>
        <w:rPr>
          <w:rFonts w:hint="eastAsia" w:ascii="宋体" w:hAnsi="宋体" w:eastAsia="宋体" w:cs="宋体"/>
          <w:sz w:val="21"/>
          <w:lang w:val="en-US" w:eastAsia="zh-CN" w:bidi="ar-SA"/>
        </w:rPr>
        <w:t>制造厂名称及地址</w:t>
      </w:r>
      <w:r>
        <w:rPr>
          <w:rFonts w:hint="eastAsia" w:hAnsi="宋体" w:cs="宋体"/>
          <w:sz w:val="21"/>
          <w:lang w:val="en-US" w:eastAsia="zh-CN" w:bidi="ar-SA"/>
        </w:rPr>
        <w:t>、</w:t>
      </w:r>
      <w:r>
        <w:rPr>
          <w:rFonts w:hint="eastAsia" w:ascii="宋体" w:hAnsi="宋体" w:eastAsia="宋体" w:cs="宋体"/>
          <w:sz w:val="21"/>
          <w:lang w:val="en-US" w:eastAsia="zh-CN" w:bidi="ar-SA"/>
        </w:rPr>
        <w:t>检验日期及检验员签章</w:t>
      </w:r>
      <w:r>
        <w:rPr>
          <w:rFonts w:hint="eastAsia" w:hAnsi="宋体" w:cs="宋体"/>
          <w:sz w:val="21"/>
          <w:lang w:val="en-US" w:eastAsia="zh-CN" w:bidi="ar-SA"/>
        </w:rPr>
        <w:t>、</w:t>
      </w:r>
      <w:r>
        <w:rPr>
          <w:rFonts w:hint="eastAsia" w:ascii="宋体" w:hAnsi="宋体" w:eastAsia="宋体" w:cs="宋体"/>
          <w:sz w:val="21"/>
          <w:lang w:val="en-US" w:eastAsia="zh-CN" w:bidi="ar-SA"/>
        </w:rPr>
        <w:t>执行标准编号。</w:t>
      </w:r>
    </w:p>
    <w:p w14:paraId="425151D0">
      <w:pPr>
        <w:pStyle w:val="110"/>
        <w:numPr>
          <w:ilvl w:val="2"/>
          <w:numId w:val="2"/>
        </w:numPr>
        <w:spacing w:before="120" w:after="120"/>
        <w:rPr>
          <w:rFonts w:hint="eastAsia" w:hAnsi="Times New Roman" w:cs="Times New Roman"/>
          <w:lang w:val="en-US" w:eastAsia="zh-CN"/>
        </w:rPr>
      </w:pPr>
      <w:bookmarkStart w:id="168" w:name="_Toc88"/>
      <w:bookmarkStart w:id="169" w:name="_Toc20649"/>
      <w:bookmarkStart w:id="170" w:name="_Toc16929"/>
      <w:bookmarkStart w:id="171" w:name="_Toc3517"/>
      <w:r>
        <w:rPr>
          <w:rFonts w:hint="eastAsia" w:hAnsi="Times New Roman" w:cs="Times New Roman"/>
          <w:lang w:val="en-US" w:eastAsia="zh-CN"/>
        </w:rPr>
        <w:t>运输</w:t>
      </w:r>
      <w:bookmarkEnd w:id="168"/>
      <w:bookmarkEnd w:id="169"/>
      <w:bookmarkEnd w:id="170"/>
      <w:bookmarkEnd w:id="171"/>
    </w:p>
    <w:p w14:paraId="498A7914">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8.3.1 拉线保护套在运输过程中应避免剧烈碰撞、挤压和日晒雨淋，不得与酸碱盐等腐蚀性物质混装。</w:t>
      </w:r>
    </w:p>
    <w:p w14:paraId="481733AB">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8.3.2 运输工具应清洁、干燥，装卸时应轻拿轻放，不得抛掷或从高处翻滚卸货</w:t>
      </w:r>
      <w:r>
        <w:rPr>
          <w:rFonts w:hint="eastAsia" w:hAnsi="宋体" w:cs="宋体"/>
          <w:sz w:val="21"/>
          <w:lang w:val="en-US" w:eastAsia="zh-CN" w:bidi="ar-SA"/>
        </w:rPr>
        <w:t>。</w:t>
      </w:r>
    </w:p>
    <w:p w14:paraId="3D25F92B">
      <w:pPr>
        <w:pStyle w:val="110"/>
        <w:numPr>
          <w:ilvl w:val="2"/>
          <w:numId w:val="2"/>
        </w:numPr>
        <w:spacing w:before="120" w:after="120"/>
        <w:rPr>
          <w:rFonts w:hint="eastAsia" w:hAnsi="Times New Roman" w:cs="Times New Roman"/>
          <w:lang w:val="en-US" w:eastAsia="zh-CN"/>
        </w:rPr>
      </w:pPr>
      <w:bookmarkStart w:id="172" w:name="_Toc15392"/>
      <w:bookmarkStart w:id="173" w:name="_Toc363"/>
      <w:bookmarkStart w:id="174" w:name="_Toc16063"/>
      <w:bookmarkStart w:id="175" w:name="_Toc13352"/>
      <w:r>
        <w:rPr>
          <w:rFonts w:hint="eastAsia" w:hAnsi="Times New Roman" w:cs="Times New Roman"/>
          <w:lang w:val="en-US" w:eastAsia="zh-CN"/>
        </w:rPr>
        <w:t>贮存</w:t>
      </w:r>
      <w:bookmarkEnd w:id="172"/>
      <w:bookmarkEnd w:id="173"/>
      <w:bookmarkEnd w:id="174"/>
      <w:bookmarkEnd w:id="175"/>
    </w:p>
    <w:p w14:paraId="2C5D4D4F">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8.4.1</w:t>
      </w:r>
      <w:r>
        <w:rPr>
          <w:rFonts w:hint="eastAsia" w:hAnsi="宋体" w:cs="宋体"/>
          <w:sz w:val="21"/>
          <w:lang w:val="en-US" w:eastAsia="zh-CN" w:bidi="ar-SA"/>
        </w:rPr>
        <w:t xml:space="preserve"> </w:t>
      </w:r>
      <w:r>
        <w:rPr>
          <w:rFonts w:hint="eastAsia" w:ascii="宋体" w:hAnsi="宋体" w:eastAsia="宋体" w:cs="宋体"/>
          <w:sz w:val="21"/>
          <w:lang w:val="en-US" w:eastAsia="zh-CN" w:bidi="ar-SA"/>
        </w:rPr>
        <w:t>拉线保护套应贮存在通风良好、干燥的库房内，远离热源和火源，避免阳光直射。</w:t>
      </w:r>
    </w:p>
    <w:p w14:paraId="6E6472D8">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8.4.2 贮存温度应为-10℃～40℃，相对湿度不应大于80%。</w:t>
      </w:r>
    </w:p>
    <w:p w14:paraId="23BF9867">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ascii="宋体" w:hAnsi="宋体" w:eastAsia="宋体" w:cs="宋体"/>
          <w:sz w:val="21"/>
          <w:lang w:val="en-US" w:eastAsia="zh-CN" w:bidi="ar-SA"/>
        </w:rPr>
      </w:pPr>
      <w:r>
        <w:rPr>
          <w:rFonts w:hint="eastAsia" w:ascii="宋体" w:hAnsi="宋体" w:eastAsia="宋体" w:cs="宋体"/>
          <w:sz w:val="21"/>
          <w:lang w:val="en-US" w:eastAsia="zh-CN" w:bidi="ar-SA"/>
        </w:rPr>
        <w:t>8.4.3 产品应分类堆放，堆放高度不宜超过1.5m，底部应有防潮垫木。</w:t>
      </w:r>
    </w:p>
    <w:p w14:paraId="47ABD2DE">
      <w:pPr>
        <w:pStyle w:val="61"/>
        <w:keepNext w:val="0"/>
        <w:keepLines w:val="0"/>
        <w:pageBreakBefore w:val="0"/>
        <w:widowControl/>
        <w:numPr>
          <w:ilvl w:val="0"/>
          <w:numId w:val="0"/>
        </w:numPr>
        <w:kinsoku/>
        <w:wordWrap/>
        <w:overflowPunct/>
        <w:topLinePunct w:val="0"/>
        <w:autoSpaceDE w:val="0"/>
        <w:autoSpaceDN w:val="0"/>
        <w:bidi w:val="0"/>
        <w:adjustRightInd/>
        <w:snapToGrid/>
        <w:textAlignment w:val="auto"/>
        <w:rPr>
          <w:rFonts w:hint="eastAsia"/>
          <w:lang w:val="en-US" w:eastAsia="zh-CN"/>
        </w:rPr>
      </w:pPr>
      <w:r>
        <w:rPr>
          <w:rFonts w:hint="eastAsia" w:ascii="宋体" w:hAnsi="宋体" w:eastAsia="宋体" w:cs="宋体"/>
          <w:sz w:val="21"/>
          <w:lang w:val="en-US" w:eastAsia="zh-CN" w:bidi="ar-SA"/>
        </w:rPr>
        <w:t>8.4.4 产品自生产之日起，在符合上述贮存条件下，保质期不应少于24个月</w:t>
      </w:r>
      <w:bookmarkEnd w:id="163"/>
      <w:r>
        <w:rPr>
          <w:rFonts w:hint="eastAsia" w:hAnsi="宋体" w:cs="宋体"/>
          <w:sz w:val="21"/>
          <w:lang w:val="en-US" w:eastAsia="zh-CN" w:bidi="ar-SA"/>
        </w:rPr>
        <w:t>。</w:t>
      </w:r>
    </w:p>
    <w:p w14:paraId="68175F5B">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176" w:name="_Toc10181"/>
      <w:bookmarkStart w:id="177" w:name="_Toc215"/>
      <w:bookmarkStart w:id="178" w:name="_Toc16819"/>
      <w:bookmarkStart w:id="179" w:name="_Toc25614"/>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176"/>
      <w:bookmarkEnd w:id="177"/>
      <w:bookmarkEnd w:id="178"/>
      <w:bookmarkEnd w:id="179"/>
    </w:p>
    <w:sectPr>
      <w:headerReference r:id="rId11" w:type="default"/>
      <w:footerReference r:id="rId12"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47DBF17-46A3-4EFD-BE50-3EFA2A611442}"/>
  </w:font>
  <w:font w:name="Arial">
    <w:panose1 w:val="020B0604020202020204"/>
    <w:charset w:val="01"/>
    <w:family w:val="swiss"/>
    <w:pitch w:val="default"/>
    <w:sig w:usb0="E0002EFF" w:usb1="C000785B" w:usb2="00000009" w:usb3="00000000" w:csb0="400001FF" w:csb1="FFFF0000"/>
    <w:embedRegular r:id="rId2" w:fontKey="{55D0A01C-D18D-4362-BAE7-CEFD3337EBD4}"/>
  </w:font>
  <w:font w:name="黑体">
    <w:panose1 w:val="02010609060101010101"/>
    <w:charset w:val="86"/>
    <w:family w:val="auto"/>
    <w:pitch w:val="default"/>
    <w:sig w:usb0="800002BF" w:usb1="38CF7CFA" w:usb2="00000016" w:usb3="00000000" w:csb0="00040001" w:csb1="00000000"/>
    <w:embedRegular r:id="rId3" w:fontKey="{C2F4B247-3917-4625-9D91-55D94D72A110}"/>
  </w:font>
  <w:font w:name="Courier New">
    <w:panose1 w:val="02070309020205020404"/>
    <w:charset w:val="01"/>
    <w:family w:val="modern"/>
    <w:pitch w:val="default"/>
    <w:sig w:usb0="E0002EFF" w:usb1="C0007843" w:usb2="00000009" w:usb3="00000000" w:csb0="400001FF" w:csb1="FFFF0000"/>
    <w:embedRegular r:id="rId4" w:fontKey="{6C0DF237-08A6-4C0B-BD99-C6A4848915D1}"/>
  </w:font>
  <w:font w:name="Symbol">
    <w:panose1 w:val="05050102010706020507"/>
    <w:charset w:val="02"/>
    <w:family w:val="roman"/>
    <w:pitch w:val="default"/>
    <w:sig w:usb0="00000000" w:usb1="00000000" w:usb2="00000000" w:usb3="00000000" w:csb0="80000000" w:csb1="00000000"/>
    <w:embedRegular r:id="rId5" w:fontKey="{99BF6EF6-3C0D-43C9-BD0C-C497B0BB222D}"/>
  </w:font>
  <w:font w:name="Calibri">
    <w:panose1 w:val="020F0502020204030204"/>
    <w:charset w:val="00"/>
    <w:family w:val="swiss"/>
    <w:pitch w:val="default"/>
    <w:sig w:usb0="E4002EFF" w:usb1="C000247B" w:usb2="00000009" w:usb3="00000000" w:csb0="200001FF" w:csb1="00000000"/>
    <w:embedRegular r:id="rId6" w:fontKey="{6254AC87-7020-4F2A-9259-222DAE42A0AF}"/>
  </w:font>
  <w:font w:name="等线">
    <w:panose1 w:val="02010600030101010101"/>
    <w:charset w:val="86"/>
    <w:family w:val="auto"/>
    <w:pitch w:val="default"/>
    <w:sig w:usb0="A00002BF" w:usb1="38CF7CFA" w:usb2="00000016" w:usb3="00000000" w:csb0="0004000F" w:csb1="00000000"/>
    <w:embedRegular r:id="rId7" w:fontKey="{C6CECEFA-0A7C-4700-B785-1BBDE319F7DD}"/>
  </w:font>
  <w:font w:name="等线 Light">
    <w:panose1 w:val="02010600030101010101"/>
    <w:charset w:val="86"/>
    <w:family w:val="auto"/>
    <w:pitch w:val="default"/>
    <w:sig w:usb0="A00002BF" w:usb1="38CF7CFA" w:usb2="00000016" w:usb3="00000000" w:csb0="0004000F" w:csb1="00000000"/>
  </w:font>
  <w:font w:name="隶属">
    <w:altName w:val="宋体"/>
    <w:panose1 w:val="00000000000000000000"/>
    <w:charset w:val="00"/>
    <w:family w:val="auto"/>
    <w:pitch w:val="default"/>
    <w:sig w:usb0="00000000" w:usb1="00000000" w:usb2="00000000" w:usb3="00000000" w:csb0="00040001" w:csb1="00000000"/>
    <w:embedRegular r:id="rId8" w:fontKey="{47E8BBA8-47E9-44D3-8B41-E1D53F2FEF6C}"/>
  </w:font>
  <w:font w:name="Cambria Math">
    <w:panose1 w:val="02040503050406030204"/>
    <w:charset w:val="00"/>
    <w:family w:val="auto"/>
    <w:pitch w:val="default"/>
    <w:sig w:usb0="E00006FF" w:usb1="420024FF" w:usb2="02000000" w:usb3="00000000" w:csb0="2000019F" w:csb1="00000000"/>
    <w:embedRegular r:id="rId9" w:fontKey="{DDB39766-6636-4476-8F56-F4B47E2C05A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0" w:fontKey="{4256EC43-A95C-453A-9228-C2CD7D48E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2E08">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等线" w:hAnsi="等线" w:eastAsia="等线" w:cs="Times New Roman"/>
        <w:kern w:val="2"/>
        <w:sz w:val="21"/>
        <w:szCs w:val="22"/>
        <w:lang w:val="en-US" w:eastAsia="zh-CN" w:bidi="ar-SA"/>
      </w:rPr>
      <w:id w:val="-548138633"/>
      <w:docPartObj>
        <w:docPartGallery w:val="autotext"/>
      </w:docPartObj>
    </w:sdtPr>
    <w:sdtEndPr>
      <w:rPr>
        <w:rFonts w:ascii="等线" w:hAnsi="等线" w:eastAsia="等线" w:cs="Times New Roman"/>
        <w:kern w:val="2"/>
        <w:sz w:val="18"/>
        <w:szCs w:val="18"/>
        <w:lang w:val="en-US" w:eastAsia="zh-CN" w:bidi="ar-SA"/>
      </w:rPr>
    </w:sdtEndPr>
    <w:sdtContent>
      <w:p w14:paraId="21E1B7DD">
        <w:pPr>
          <w:framePr w:wrap="auto" w:vAnchor="text" w:hAnchor="margin" w:xAlign="center" w:y="1"/>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rFonts w:ascii="宋体" w:hAnsi="Times New Roman" w:eastAsia="宋体" w:cs="宋体"/>
            <w:kern w:val="2"/>
            <w:sz w:val="18"/>
            <w:szCs w:val="18"/>
            <w:lang w:val="en-US" w:eastAsia="zh-CN" w:bidi="ar-SA"/>
          </w:rPr>
          <w:fldChar w:fldCharType="begin"/>
        </w:r>
        <w:r>
          <w:rPr>
            <w:rFonts w:ascii="宋体" w:hAnsi="Times New Roman" w:eastAsia="宋体" w:cs="宋体"/>
            <w:kern w:val="2"/>
            <w:sz w:val="18"/>
            <w:szCs w:val="18"/>
            <w:lang w:val="en-US" w:eastAsia="zh-CN" w:bidi="ar-SA"/>
          </w:rPr>
          <w:instrText xml:space="preserve"> PAGE </w:instrText>
        </w:r>
        <w:r>
          <w:rPr>
            <w:rFonts w:ascii="宋体" w:hAnsi="Times New Roman" w:eastAsia="宋体" w:cs="宋体"/>
            <w:kern w:val="2"/>
            <w:sz w:val="18"/>
            <w:szCs w:val="18"/>
            <w:lang w:val="en-US" w:eastAsia="zh-CN" w:bidi="ar-SA"/>
          </w:rPr>
          <w:fldChar w:fldCharType="end"/>
        </w:r>
      </w:p>
    </w:sdtContent>
  </w:sdt>
  <w:p w14:paraId="4A321105">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5E298">
    <w:pPr>
      <w:widowControl w:val="0"/>
      <w:tabs>
        <w:tab w:val="center" w:pos="4153"/>
        <w:tab w:val="right" w:pos="8306"/>
      </w:tabs>
      <w:snapToGrid w:val="0"/>
      <w:jc w:val="left"/>
      <w:rPr>
        <w:rFonts w:ascii="等线" w:hAnsi="等线" w:eastAsia="等线" w:cs="Times New Roman"/>
        <w:kern w:val="2"/>
        <w:sz w:val="18"/>
        <w:szCs w:val="18"/>
        <w:lang w:val="en-US" w:eastAsia="zh-CN" w:bidi="ar-SA"/>
      </w:rPr>
    </w:pPr>
    <w:sdt>
      <w:sdtPr>
        <w:rPr>
          <w:rFonts w:ascii="等线" w:hAnsi="等线" w:eastAsia="等线" w:cs="Times New Roman"/>
          <w:kern w:val="2"/>
          <w:sz w:val="21"/>
          <w:szCs w:val="22"/>
          <w:lang w:val="en-US" w:eastAsia="zh-CN" w:bidi="ar-SA"/>
        </w:rPr>
        <w:id w:val="1458601550"/>
        <w:docPartObj>
          <w:docPartGallery w:val="autotext"/>
        </w:docPartObj>
      </w:sdtPr>
      <w:sdtEndPr>
        <w:rPr>
          <w:rFonts w:ascii="等线" w:hAnsi="等线" w:eastAsia="等线" w:cs="Times New Roman"/>
          <w:kern w:val="2"/>
          <w:sz w:val="18"/>
          <w:szCs w:val="18"/>
          <w:lang w:val="en-US" w:eastAsia="zh-CN" w:bidi="ar-SA"/>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88984">
    <w:pPr>
      <w:pStyle w:val="57"/>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29DD">
    <w:pPr>
      <w:pStyle w:val="66"/>
      <w:wordWrap w:val="0"/>
      <w:rPr>
        <w:rFonts w:hint="default" w:eastAsia="黑体"/>
        <w:lang w:val="en-US" w:eastAsia="zh-CN"/>
      </w:rPr>
    </w:pPr>
    <w:r>
      <w:rPr>
        <w:rFonts w:hint="eastAsia"/>
        <w:lang w:val="en-US" w:eastAsia="zh-CN"/>
      </w:rPr>
      <w:t>T/CI 351-2024</w:t>
    </w:r>
  </w:p>
  <w:p w14:paraId="5C843251">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56B0">
    <w:pPr>
      <w:pStyle w:val="66"/>
      <w:rPr>
        <w:sz w:val="21"/>
        <w:szCs w:val="21"/>
      </w:rPr>
    </w:pPr>
    <w:r>
      <w:rPr>
        <w:rFonts w:hint="eastAsia" w:ascii="黑体" w:hAnsi="黑体" w:eastAsia="黑体" w:cs="黑体"/>
        <w:sz w:val="21"/>
        <w:szCs w:val="21"/>
      </w:rPr>
      <w:t>T/</w:t>
    </w:r>
    <w:r>
      <w:rPr>
        <w:rFonts w:hint="eastAsia" w:hAnsi="黑体" w:cs="黑体"/>
        <w:sz w:val="21"/>
        <w:szCs w:val="21"/>
        <w:lang w:val="en-US" w:eastAsia="zh-CN"/>
      </w:rPr>
      <w:t>CWDPA</w:t>
    </w:r>
    <w:r>
      <w:rPr>
        <w:rFonts w:hint="eastAsia" w:ascii="黑体" w:hAnsi="黑体" w:eastAsia="黑体" w:cs="黑体"/>
        <w:sz w:val="21"/>
        <w:szCs w:val="21"/>
      </w:rPr>
      <w:t xml:space="preserve"> </w:t>
    </w:r>
    <w:r>
      <w:rPr>
        <w:rFonts w:hint="eastAsia" w:ascii="黑体" w:hAnsi="黑体" w:eastAsia="黑体" w:cs="黑体"/>
        <w:sz w:val="21"/>
        <w:szCs w:val="21"/>
        <w:lang w:val="en-US" w:eastAsia="zh-CN"/>
      </w:rPr>
      <w:t>XXX</w:t>
    </w:r>
    <w:r>
      <w:rPr>
        <w:rFonts w:hint="eastAsia" w:ascii="黑体" w:hAnsi="黑体" w:eastAsia="黑体" w:cs="黑体"/>
        <w:sz w:val="21"/>
        <w:szCs w:val="21"/>
      </w:rPr>
      <w:t>—202</w:t>
    </w:r>
    <w:r>
      <w:rPr>
        <w:rFonts w:hint="eastAsia" w:hAnsi="黑体" w:cs="黑体"/>
        <w:sz w:val="21"/>
        <w:szCs w:val="21"/>
        <w:lang w:val="en-US" w:eastAsia="zh-CN"/>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19"/>
      <w:jc w:val="right"/>
      <w:rPr>
        <w:rFonts w:hint="eastAsia" w:eastAsia="宋体"/>
        <w:lang w:val="en-US" w:eastAsia="zh-CN"/>
      </w:rPr>
    </w:pPr>
    <w:r>
      <w:rPr>
        <w:rFonts w:hint="eastAsia" w:ascii="黑体" w:hAnsi="黑体" w:eastAsia="黑体" w:cs="黑体"/>
        <w:sz w:val="21"/>
        <w:szCs w:val="21"/>
      </w:rPr>
      <w:t>T/CWDPA XXX—202</w:t>
    </w:r>
    <w:r>
      <w:rPr>
        <w:rFonts w:hint="eastAsia" w:ascii="黑体" w:hAnsi="黑体" w:eastAsia="黑体" w:cs="黑体"/>
        <w:sz w:val="21"/>
        <w:szCs w:val="21"/>
        <w:lang w:val="en-US" w:eastAsia="zh-CN"/>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07533"/>
    <w:multiLevelType w:val="singleLevel"/>
    <w:tmpl w:val="80707533"/>
    <w:lvl w:ilvl="0" w:tentative="0">
      <w:start w:val="1"/>
      <w:numFmt w:val="lowerLetter"/>
      <w:suff w:val="space"/>
      <w:lvlText w:val="%1)"/>
      <w:lvlJc w:val="left"/>
    </w:lvl>
  </w:abstractNum>
  <w:abstractNum w:abstractNumId="1">
    <w:nsid w:val="8891BBAA"/>
    <w:multiLevelType w:val="singleLevel"/>
    <w:tmpl w:val="8891BBAA"/>
    <w:lvl w:ilvl="0" w:tentative="0">
      <w:start w:val="1"/>
      <w:numFmt w:val="lowerLetter"/>
      <w:suff w:val="space"/>
      <w:lvlText w:val="%1)"/>
      <w:lvlJc w:val="left"/>
    </w:lvl>
  </w:abstractNum>
  <w:abstractNum w:abstractNumId="2">
    <w:nsid w:val="9AF91B29"/>
    <w:multiLevelType w:val="singleLevel"/>
    <w:tmpl w:val="9AF91B29"/>
    <w:lvl w:ilvl="0" w:tentative="0">
      <w:start w:val="1"/>
      <w:numFmt w:val="lowerLetter"/>
      <w:suff w:val="space"/>
      <w:lvlText w:val="%1)"/>
      <w:lvlJc w:val="left"/>
    </w:lvl>
  </w:abstractNum>
  <w:abstractNum w:abstractNumId="3">
    <w:nsid w:val="AE653FBA"/>
    <w:multiLevelType w:val="multilevel"/>
    <w:tmpl w:val="AE653FBA"/>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F55D3C37"/>
    <w:multiLevelType w:val="singleLevel"/>
    <w:tmpl w:val="F55D3C37"/>
    <w:lvl w:ilvl="0" w:tentative="0">
      <w:start w:val="1"/>
      <w:numFmt w:val="lowerLetter"/>
      <w:suff w:val="space"/>
      <w:lvlText w:val="%1)"/>
      <w:lvlJc w:val="left"/>
    </w:lvl>
  </w:abstractNum>
  <w:abstractNum w:abstractNumId="5">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6">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7">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8">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0">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2">
    <w:nsid w:val="149AECE1"/>
    <w:multiLevelType w:val="singleLevel"/>
    <w:tmpl w:val="149AECE1"/>
    <w:lvl w:ilvl="0" w:tentative="0">
      <w:start w:val="1"/>
      <w:numFmt w:val="lowerLetter"/>
      <w:suff w:val="space"/>
      <w:lvlText w:val="%1)"/>
      <w:lvlJc w:val="left"/>
    </w:lvl>
  </w:abstractNum>
  <w:abstractNum w:abstractNumId="13">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5">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6">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7">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8">
    <w:nsid w:val="39768E50"/>
    <w:multiLevelType w:val="singleLevel"/>
    <w:tmpl w:val="39768E50"/>
    <w:lvl w:ilvl="0" w:tentative="0">
      <w:start w:val="1"/>
      <w:numFmt w:val="lowerLetter"/>
      <w:suff w:val="space"/>
      <w:lvlText w:val="%1)"/>
      <w:lvlJc w:val="left"/>
    </w:lvl>
  </w:abstractNum>
  <w:abstractNum w:abstractNumId="19">
    <w:nsid w:val="42EFFD8F"/>
    <w:multiLevelType w:val="singleLevel"/>
    <w:tmpl w:val="42EFFD8F"/>
    <w:lvl w:ilvl="0" w:tentative="0">
      <w:start w:val="1"/>
      <w:numFmt w:val="lowerLetter"/>
      <w:suff w:val="space"/>
      <w:lvlText w:val="%1)"/>
      <w:lvlJc w:val="left"/>
    </w:lvl>
  </w:abstractNum>
  <w:abstractNum w:abstractNumId="20">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1">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2">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3">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4">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5">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CCF408A"/>
    <w:multiLevelType w:val="multilevel"/>
    <w:tmpl w:val="5CCF408A"/>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8">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9">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0">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1">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2">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5">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6">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7">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7BA0F2BE"/>
    <w:multiLevelType w:val="singleLevel"/>
    <w:tmpl w:val="7BA0F2BE"/>
    <w:lvl w:ilvl="0" w:tentative="0">
      <w:start w:val="1"/>
      <w:numFmt w:val="lowerLetter"/>
      <w:suff w:val="space"/>
      <w:lvlText w:val="%1)"/>
      <w:lvlJc w:val="left"/>
    </w:lvl>
  </w:abstractNum>
  <w:num w:numId="1">
    <w:abstractNumId w:val="5"/>
  </w:num>
  <w:num w:numId="2">
    <w:abstractNumId w:val="34"/>
  </w:num>
  <w:num w:numId="3">
    <w:abstractNumId w:val="10"/>
  </w:num>
  <w:num w:numId="4">
    <w:abstractNumId w:val="30"/>
  </w:num>
  <w:num w:numId="5">
    <w:abstractNumId w:val="26"/>
  </w:num>
  <w:num w:numId="6">
    <w:abstractNumId w:val="3"/>
  </w:num>
  <w:num w:numId="7">
    <w:abstractNumId w:val="14"/>
  </w:num>
  <w:num w:numId="8">
    <w:abstractNumId w:val="8"/>
  </w:num>
  <w:num w:numId="9">
    <w:abstractNumId w:val="15"/>
  </w:num>
  <w:num w:numId="10">
    <w:abstractNumId w:val="23"/>
  </w:num>
  <w:num w:numId="11">
    <w:abstractNumId w:val="32"/>
  </w:num>
  <w:num w:numId="12">
    <w:abstractNumId w:val="17"/>
  </w:num>
  <w:num w:numId="13">
    <w:abstractNumId w:val="20"/>
  </w:num>
  <w:num w:numId="14">
    <w:abstractNumId w:val="13"/>
  </w:num>
  <w:num w:numId="15">
    <w:abstractNumId w:val="25"/>
  </w:num>
  <w:num w:numId="16">
    <w:abstractNumId w:val="28"/>
  </w:num>
  <w:num w:numId="17">
    <w:abstractNumId w:val="24"/>
  </w:num>
  <w:num w:numId="18">
    <w:abstractNumId w:val="36"/>
  </w:num>
  <w:num w:numId="19">
    <w:abstractNumId w:val="22"/>
  </w:num>
  <w:num w:numId="20">
    <w:abstractNumId w:val="6"/>
  </w:num>
  <w:num w:numId="21">
    <w:abstractNumId w:val="16"/>
  </w:num>
  <w:num w:numId="22">
    <w:abstractNumId w:val="37"/>
  </w:num>
  <w:num w:numId="23">
    <w:abstractNumId w:val="27"/>
  </w:num>
  <w:num w:numId="24">
    <w:abstractNumId w:val="11"/>
  </w:num>
  <w:num w:numId="25">
    <w:abstractNumId w:val="33"/>
  </w:num>
  <w:num w:numId="26">
    <w:abstractNumId w:val="35"/>
  </w:num>
  <w:num w:numId="27">
    <w:abstractNumId w:val="7"/>
  </w:num>
  <w:num w:numId="28">
    <w:abstractNumId w:val="9"/>
  </w:num>
  <w:num w:numId="29">
    <w:abstractNumId w:val="21"/>
  </w:num>
  <w:num w:numId="30">
    <w:abstractNumId w:val="31"/>
  </w:num>
  <w:num w:numId="31">
    <w:abstractNumId w:val="29"/>
  </w:num>
  <w:num w:numId="32">
    <w:abstractNumId w:val="2"/>
  </w:num>
  <w:num w:numId="33">
    <w:abstractNumId w:val="19"/>
  </w:num>
  <w:num w:numId="34">
    <w:abstractNumId w:val="18"/>
  </w:num>
  <w:num w:numId="35">
    <w:abstractNumId w:val="4"/>
  </w:num>
  <w:num w:numId="36">
    <w:abstractNumId w:val="1"/>
  </w:num>
  <w:num w:numId="37">
    <w:abstractNumId w:val="38"/>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DB1C83"/>
    <w:rsid w:val="02247ACE"/>
    <w:rsid w:val="024B6E08"/>
    <w:rsid w:val="027345B1"/>
    <w:rsid w:val="02EB239A"/>
    <w:rsid w:val="0337738D"/>
    <w:rsid w:val="035E700F"/>
    <w:rsid w:val="03802AE2"/>
    <w:rsid w:val="038F0F77"/>
    <w:rsid w:val="03936A9A"/>
    <w:rsid w:val="041A1DAA"/>
    <w:rsid w:val="04D71266"/>
    <w:rsid w:val="05017C52"/>
    <w:rsid w:val="05383DBD"/>
    <w:rsid w:val="056D7D96"/>
    <w:rsid w:val="057E74F5"/>
    <w:rsid w:val="05D13AC9"/>
    <w:rsid w:val="05E25CD6"/>
    <w:rsid w:val="062067FE"/>
    <w:rsid w:val="06370BD1"/>
    <w:rsid w:val="071740BE"/>
    <w:rsid w:val="072126BE"/>
    <w:rsid w:val="074107DA"/>
    <w:rsid w:val="0741664E"/>
    <w:rsid w:val="074402CA"/>
    <w:rsid w:val="074B2F2B"/>
    <w:rsid w:val="076C2B3D"/>
    <w:rsid w:val="07837045"/>
    <w:rsid w:val="07F22FA2"/>
    <w:rsid w:val="08267E19"/>
    <w:rsid w:val="082A74C0"/>
    <w:rsid w:val="089112ED"/>
    <w:rsid w:val="08C94F2B"/>
    <w:rsid w:val="08D631A4"/>
    <w:rsid w:val="08FB2C0B"/>
    <w:rsid w:val="09075A53"/>
    <w:rsid w:val="096133B5"/>
    <w:rsid w:val="098B21E0"/>
    <w:rsid w:val="09DC47EA"/>
    <w:rsid w:val="0A49096C"/>
    <w:rsid w:val="0AAE6112"/>
    <w:rsid w:val="0B510CC2"/>
    <w:rsid w:val="0B61144B"/>
    <w:rsid w:val="0B7373D0"/>
    <w:rsid w:val="0BA37CB5"/>
    <w:rsid w:val="0C7015F6"/>
    <w:rsid w:val="0C8F023A"/>
    <w:rsid w:val="0C96783C"/>
    <w:rsid w:val="0C9B6BDE"/>
    <w:rsid w:val="0CA666F2"/>
    <w:rsid w:val="0CA912FB"/>
    <w:rsid w:val="0CAC0DEC"/>
    <w:rsid w:val="0CB24D02"/>
    <w:rsid w:val="0CBD4DA7"/>
    <w:rsid w:val="0CF06F2A"/>
    <w:rsid w:val="0CF7697F"/>
    <w:rsid w:val="0CF9720F"/>
    <w:rsid w:val="0D205F98"/>
    <w:rsid w:val="0D397A5A"/>
    <w:rsid w:val="0D985311"/>
    <w:rsid w:val="0DA21B9C"/>
    <w:rsid w:val="0DEE2D3E"/>
    <w:rsid w:val="0E323572"/>
    <w:rsid w:val="0E5E4367"/>
    <w:rsid w:val="0E6D5BB9"/>
    <w:rsid w:val="0EAA135B"/>
    <w:rsid w:val="0EAE0E4B"/>
    <w:rsid w:val="0ED9579C"/>
    <w:rsid w:val="0F1C5EFC"/>
    <w:rsid w:val="0F576C9E"/>
    <w:rsid w:val="0FAB7138"/>
    <w:rsid w:val="0FDE5F96"/>
    <w:rsid w:val="0FF860F6"/>
    <w:rsid w:val="1024598E"/>
    <w:rsid w:val="105310CD"/>
    <w:rsid w:val="105517FE"/>
    <w:rsid w:val="107C0AD5"/>
    <w:rsid w:val="108C091C"/>
    <w:rsid w:val="10971222"/>
    <w:rsid w:val="10FF7C3A"/>
    <w:rsid w:val="11346DAD"/>
    <w:rsid w:val="11364E51"/>
    <w:rsid w:val="115C628C"/>
    <w:rsid w:val="117479FE"/>
    <w:rsid w:val="118045F5"/>
    <w:rsid w:val="119F4A7B"/>
    <w:rsid w:val="11A6405B"/>
    <w:rsid w:val="11B61661"/>
    <w:rsid w:val="11E82659"/>
    <w:rsid w:val="120B2110"/>
    <w:rsid w:val="126637EB"/>
    <w:rsid w:val="1279042F"/>
    <w:rsid w:val="1289734F"/>
    <w:rsid w:val="12E71E34"/>
    <w:rsid w:val="12FE379E"/>
    <w:rsid w:val="13693232"/>
    <w:rsid w:val="13947D4D"/>
    <w:rsid w:val="13DA623E"/>
    <w:rsid w:val="14047949"/>
    <w:rsid w:val="14403A45"/>
    <w:rsid w:val="14755F67"/>
    <w:rsid w:val="14897755"/>
    <w:rsid w:val="14C95AF3"/>
    <w:rsid w:val="15003A82"/>
    <w:rsid w:val="15107A3E"/>
    <w:rsid w:val="15164B54"/>
    <w:rsid w:val="154871D8"/>
    <w:rsid w:val="1579275D"/>
    <w:rsid w:val="15854FAB"/>
    <w:rsid w:val="15DE4F2F"/>
    <w:rsid w:val="15E931DA"/>
    <w:rsid w:val="161D66CD"/>
    <w:rsid w:val="1662251B"/>
    <w:rsid w:val="16946B78"/>
    <w:rsid w:val="16BD34A4"/>
    <w:rsid w:val="16EA3D36"/>
    <w:rsid w:val="1740285C"/>
    <w:rsid w:val="177047B1"/>
    <w:rsid w:val="1798559B"/>
    <w:rsid w:val="181451A4"/>
    <w:rsid w:val="182932F0"/>
    <w:rsid w:val="185C5798"/>
    <w:rsid w:val="19020F76"/>
    <w:rsid w:val="195218C7"/>
    <w:rsid w:val="19AD1853"/>
    <w:rsid w:val="19E80F89"/>
    <w:rsid w:val="19ED5077"/>
    <w:rsid w:val="19F87CF8"/>
    <w:rsid w:val="1A2E2E40"/>
    <w:rsid w:val="1A5B14D5"/>
    <w:rsid w:val="1A6C3968"/>
    <w:rsid w:val="1AB53561"/>
    <w:rsid w:val="1AD05CA5"/>
    <w:rsid w:val="1AF851FC"/>
    <w:rsid w:val="1B444464"/>
    <w:rsid w:val="1C2019B2"/>
    <w:rsid w:val="1C232937"/>
    <w:rsid w:val="1C84035C"/>
    <w:rsid w:val="1C90180A"/>
    <w:rsid w:val="1CB44504"/>
    <w:rsid w:val="1CBF06C7"/>
    <w:rsid w:val="1CD11779"/>
    <w:rsid w:val="1CD557F5"/>
    <w:rsid w:val="1CFE203E"/>
    <w:rsid w:val="1D3E1AE8"/>
    <w:rsid w:val="1D412E8A"/>
    <w:rsid w:val="1D6152DA"/>
    <w:rsid w:val="1D9C6312"/>
    <w:rsid w:val="1DA578BD"/>
    <w:rsid w:val="1DE37048"/>
    <w:rsid w:val="1E293DC9"/>
    <w:rsid w:val="1E592455"/>
    <w:rsid w:val="1F4629DA"/>
    <w:rsid w:val="1F5A46D7"/>
    <w:rsid w:val="1F7D0E8D"/>
    <w:rsid w:val="1F7E2174"/>
    <w:rsid w:val="1FFB71EF"/>
    <w:rsid w:val="2011123A"/>
    <w:rsid w:val="202F6FF1"/>
    <w:rsid w:val="20586BFF"/>
    <w:rsid w:val="206F32C6"/>
    <w:rsid w:val="20A206AE"/>
    <w:rsid w:val="21167384"/>
    <w:rsid w:val="2136082C"/>
    <w:rsid w:val="21703D3E"/>
    <w:rsid w:val="221446F8"/>
    <w:rsid w:val="22A21F61"/>
    <w:rsid w:val="23135F56"/>
    <w:rsid w:val="232B0965"/>
    <w:rsid w:val="23720E5B"/>
    <w:rsid w:val="239F4DAE"/>
    <w:rsid w:val="23B2431C"/>
    <w:rsid w:val="24101808"/>
    <w:rsid w:val="24E862E1"/>
    <w:rsid w:val="2560231B"/>
    <w:rsid w:val="257152D6"/>
    <w:rsid w:val="25D80104"/>
    <w:rsid w:val="26013711"/>
    <w:rsid w:val="2604378E"/>
    <w:rsid w:val="2641214D"/>
    <w:rsid w:val="26435EC5"/>
    <w:rsid w:val="264F486A"/>
    <w:rsid w:val="26597496"/>
    <w:rsid w:val="265C0C2C"/>
    <w:rsid w:val="268D6C84"/>
    <w:rsid w:val="26AC40FD"/>
    <w:rsid w:val="26C568DA"/>
    <w:rsid w:val="26D22DA5"/>
    <w:rsid w:val="26F251F5"/>
    <w:rsid w:val="26FD2518"/>
    <w:rsid w:val="2706199F"/>
    <w:rsid w:val="27191146"/>
    <w:rsid w:val="272555CB"/>
    <w:rsid w:val="272705E4"/>
    <w:rsid w:val="273247AF"/>
    <w:rsid w:val="278B636C"/>
    <w:rsid w:val="27A74232"/>
    <w:rsid w:val="281713B7"/>
    <w:rsid w:val="28526934"/>
    <w:rsid w:val="28AA3FD9"/>
    <w:rsid w:val="28CE6F9F"/>
    <w:rsid w:val="28D46B7D"/>
    <w:rsid w:val="298F4F7D"/>
    <w:rsid w:val="29D55086"/>
    <w:rsid w:val="2A1A5F20"/>
    <w:rsid w:val="2A1F27A5"/>
    <w:rsid w:val="2A222295"/>
    <w:rsid w:val="2A3A75DF"/>
    <w:rsid w:val="2A7B0D43"/>
    <w:rsid w:val="2A8C24C0"/>
    <w:rsid w:val="2A984505"/>
    <w:rsid w:val="2ABA24CE"/>
    <w:rsid w:val="2ABC5A31"/>
    <w:rsid w:val="2AE76B06"/>
    <w:rsid w:val="2B0025D7"/>
    <w:rsid w:val="2B7408CF"/>
    <w:rsid w:val="2B941177"/>
    <w:rsid w:val="2BB331A5"/>
    <w:rsid w:val="2BCC070B"/>
    <w:rsid w:val="2BF727FE"/>
    <w:rsid w:val="2C047EA4"/>
    <w:rsid w:val="2C405C02"/>
    <w:rsid w:val="2C610E53"/>
    <w:rsid w:val="2C974E26"/>
    <w:rsid w:val="2CC71744"/>
    <w:rsid w:val="2D142369"/>
    <w:rsid w:val="2D175AA2"/>
    <w:rsid w:val="2D364384"/>
    <w:rsid w:val="2D864A37"/>
    <w:rsid w:val="2D9802B6"/>
    <w:rsid w:val="2DE832DC"/>
    <w:rsid w:val="2E067F10"/>
    <w:rsid w:val="2E2E745B"/>
    <w:rsid w:val="2E312AA7"/>
    <w:rsid w:val="2E7A774E"/>
    <w:rsid w:val="2EA65243"/>
    <w:rsid w:val="2EEF10A1"/>
    <w:rsid w:val="2EEF5C10"/>
    <w:rsid w:val="2F466B3B"/>
    <w:rsid w:val="2FA5374C"/>
    <w:rsid w:val="2FAF42C8"/>
    <w:rsid w:val="2FE752D1"/>
    <w:rsid w:val="300A7A53"/>
    <w:rsid w:val="301569E1"/>
    <w:rsid w:val="30304791"/>
    <w:rsid w:val="303B5E5F"/>
    <w:rsid w:val="304E7940"/>
    <w:rsid w:val="3069477A"/>
    <w:rsid w:val="309D614E"/>
    <w:rsid w:val="30F0112E"/>
    <w:rsid w:val="313528AE"/>
    <w:rsid w:val="314D19A6"/>
    <w:rsid w:val="318D4498"/>
    <w:rsid w:val="31A11CF2"/>
    <w:rsid w:val="31E3055C"/>
    <w:rsid w:val="32142838"/>
    <w:rsid w:val="32686B23"/>
    <w:rsid w:val="32AB5D01"/>
    <w:rsid w:val="32D3237F"/>
    <w:rsid w:val="33134959"/>
    <w:rsid w:val="332A7819"/>
    <w:rsid w:val="334376A7"/>
    <w:rsid w:val="33492641"/>
    <w:rsid w:val="33686F6B"/>
    <w:rsid w:val="33A900F6"/>
    <w:rsid w:val="33D31231"/>
    <w:rsid w:val="33D60378"/>
    <w:rsid w:val="34120C85"/>
    <w:rsid w:val="341D114F"/>
    <w:rsid w:val="349873DC"/>
    <w:rsid w:val="34A77AD0"/>
    <w:rsid w:val="34BF4CAA"/>
    <w:rsid w:val="35020CF9"/>
    <w:rsid w:val="351729F7"/>
    <w:rsid w:val="352D62CE"/>
    <w:rsid w:val="358F02C1"/>
    <w:rsid w:val="35986C99"/>
    <w:rsid w:val="35E11274"/>
    <w:rsid w:val="35EC2E42"/>
    <w:rsid w:val="35EF42A0"/>
    <w:rsid w:val="35F04FF6"/>
    <w:rsid w:val="360E3B2F"/>
    <w:rsid w:val="365C268B"/>
    <w:rsid w:val="36723C5D"/>
    <w:rsid w:val="367501B8"/>
    <w:rsid w:val="368470CC"/>
    <w:rsid w:val="376143FD"/>
    <w:rsid w:val="38042FDA"/>
    <w:rsid w:val="38084878"/>
    <w:rsid w:val="382471D8"/>
    <w:rsid w:val="38510A7B"/>
    <w:rsid w:val="38811B6E"/>
    <w:rsid w:val="389B28F8"/>
    <w:rsid w:val="38F02E97"/>
    <w:rsid w:val="39447FDB"/>
    <w:rsid w:val="395B30CE"/>
    <w:rsid w:val="39CD5D7A"/>
    <w:rsid w:val="39E60BE9"/>
    <w:rsid w:val="39FE35D6"/>
    <w:rsid w:val="3A167A0E"/>
    <w:rsid w:val="3A240899"/>
    <w:rsid w:val="3AAB598F"/>
    <w:rsid w:val="3ACA4D41"/>
    <w:rsid w:val="3AD4069B"/>
    <w:rsid w:val="3B3720B6"/>
    <w:rsid w:val="3B434C68"/>
    <w:rsid w:val="3B4756B8"/>
    <w:rsid w:val="3B4B21D2"/>
    <w:rsid w:val="3B5B1163"/>
    <w:rsid w:val="3B660234"/>
    <w:rsid w:val="3B7A10AA"/>
    <w:rsid w:val="3B8F2C3B"/>
    <w:rsid w:val="3B9E5419"/>
    <w:rsid w:val="3B9F3746"/>
    <w:rsid w:val="3BE23632"/>
    <w:rsid w:val="3C137C90"/>
    <w:rsid w:val="3C1557B6"/>
    <w:rsid w:val="3C670048"/>
    <w:rsid w:val="3CE1265E"/>
    <w:rsid w:val="3D0F0457"/>
    <w:rsid w:val="3D211F38"/>
    <w:rsid w:val="3D513680"/>
    <w:rsid w:val="3D566C49"/>
    <w:rsid w:val="3D8F1791"/>
    <w:rsid w:val="3D98044D"/>
    <w:rsid w:val="3E0C4997"/>
    <w:rsid w:val="3E204318"/>
    <w:rsid w:val="3E2E7003"/>
    <w:rsid w:val="3E4F1453"/>
    <w:rsid w:val="3E625A65"/>
    <w:rsid w:val="3E676FE7"/>
    <w:rsid w:val="3E6A003B"/>
    <w:rsid w:val="3E907376"/>
    <w:rsid w:val="3EE57FFF"/>
    <w:rsid w:val="3EE940BE"/>
    <w:rsid w:val="3F0538C0"/>
    <w:rsid w:val="3F0B3AFE"/>
    <w:rsid w:val="3FA550A3"/>
    <w:rsid w:val="3FD4626A"/>
    <w:rsid w:val="40491ED2"/>
    <w:rsid w:val="404D5D77"/>
    <w:rsid w:val="405C7E57"/>
    <w:rsid w:val="40E65973"/>
    <w:rsid w:val="40EC0DD9"/>
    <w:rsid w:val="40EF3947"/>
    <w:rsid w:val="40FB4353"/>
    <w:rsid w:val="41263FC1"/>
    <w:rsid w:val="413B181B"/>
    <w:rsid w:val="41517290"/>
    <w:rsid w:val="41522043"/>
    <w:rsid w:val="41B6246A"/>
    <w:rsid w:val="41D35EF7"/>
    <w:rsid w:val="41D97316"/>
    <w:rsid w:val="41EA1493"/>
    <w:rsid w:val="4207790D"/>
    <w:rsid w:val="42851181"/>
    <w:rsid w:val="42984A4B"/>
    <w:rsid w:val="42A17DA3"/>
    <w:rsid w:val="42BC6C22"/>
    <w:rsid w:val="42EB7271"/>
    <w:rsid w:val="430B346F"/>
    <w:rsid w:val="430C3285"/>
    <w:rsid w:val="43525542"/>
    <w:rsid w:val="437454B8"/>
    <w:rsid w:val="43876DC7"/>
    <w:rsid w:val="439B2A45"/>
    <w:rsid w:val="439F6551"/>
    <w:rsid w:val="44006D4C"/>
    <w:rsid w:val="44636591"/>
    <w:rsid w:val="44C304A5"/>
    <w:rsid w:val="44FD4773"/>
    <w:rsid w:val="45486BFC"/>
    <w:rsid w:val="45DB35CC"/>
    <w:rsid w:val="45E83F3B"/>
    <w:rsid w:val="45FA7D5B"/>
    <w:rsid w:val="464229AA"/>
    <w:rsid w:val="465A48FC"/>
    <w:rsid w:val="46696CCB"/>
    <w:rsid w:val="46711C5F"/>
    <w:rsid w:val="46794B93"/>
    <w:rsid w:val="46895648"/>
    <w:rsid w:val="46D70238"/>
    <w:rsid w:val="46D87B0C"/>
    <w:rsid w:val="473C009B"/>
    <w:rsid w:val="473F1EFF"/>
    <w:rsid w:val="47613FA5"/>
    <w:rsid w:val="47BC2352"/>
    <w:rsid w:val="47C22C96"/>
    <w:rsid w:val="48457423"/>
    <w:rsid w:val="48530866"/>
    <w:rsid w:val="488B752C"/>
    <w:rsid w:val="48B06F92"/>
    <w:rsid w:val="48F76E74"/>
    <w:rsid w:val="490E0B33"/>
    <w:rsid w:val="49AF724A"/>
    <w:rsid w:val="49D1656A"/>
    <w:rsid w:val="49F64E79"/>
    <w:rsid w:val="4A075F7D"/>
    <w:rsid w:val="4A325785"/>
    <w:rsid w:val="4A800BE6"/>
    <w:rsid w:val="4A837EE2"/>
    <w:rsid w:val="4ADB5E1D"/>
    <w:rsid w:val="4AE22767"/>
    <w:rsid w:val="4BCF3BD3"/>
    <w:rsid w:val="4BD74836"/>
    <w:rsid w:val="4C371778"/>
    <w:rsid w:val="4C7C718B"/>
    <w:rsid w:val="4C8F6EBF"/>
    <w:rsid w:val="4CEA67EB"/>
    <w:rsid w:val="4DDA23BB"/>
    <w:rsid w:val="4E232905"/>
    <w:rsid w:val="4E241889"/>
    <w:rsid w:val="4E5C1022"/>
    <w:rsid w:val="4EB01641"/>
    <w:rsid w:val="4ED80FF1"/>
    <w:rsid w:val="4EF37BD9"/>
    <w:rsid w:val="4F0A6CD0"/>
    <w:rsid w:val="4F534BF8"/>
    <w:rsid w:val="4F587A3C"/>
    <w:rsid w:val="4F717BF1"/>
    <w:rsid w:val="4FBF2D98"/>
    <w:rsid w:val="4FCA62BD"/>
    <w:rsid w:val="4FCC3F86"/>
    <w:rsid w:val="4FD33566"/>
    <w:rsid w:val="50504BB7"/>
    <w:rsid w:val="507C3BFE"/>
    <w:rsid w:val="507E34D2"/>
    <w:rsid w:val="50966C31"/>
    <w:rsid w:val="50ED2406"/>
    <w:rsid w:val="50F419E6"/>
    <w:rsid w:val="51431169"/>
    <w:rsid w:val="514E65F3"/>
    <w:rsid w:val="51825244"/>
    <w:rsid w:val="5193599C"/>
    <w:rsid w:val="519A0805"/>
    <w:rsid w:val="51F53C68"/>
    <w:rsid w:val="52102850"/>
    <w:rsid w:val="525A3ACB"/>
    <w:rsid w:val="525D0267"/>
    <w:rsid w:val="52B23907"/>
    <w:rsid w:val="52C11D9C"/>
    <w:rsid w:val="52EA30A1"/>
    <w:rsid w:val="52FE6B4C"/>
    <w:rsid w:val="53105563"/>
    <w:rsid w:val="53127D55"/>
    <w:rsid w:val="53234C57"/>
    <w:rsid w:val="53343453"/>
    <w:rsid w:val="537D2167"/>
    <w:rsid w:val="53926B2B"/>
    <w:rsid w:val="53A94D22"/>
    <w:rsid w:val="53E2646E"/>
    <w:rsid w:val="544B5514"/>
    <w:rsid w:val="54560E40"/>
    <w:rsid w:val="546B0211"/>
    <w:rsid w:val="54C71C79"/>
    <w:rsid w:val="54DA0EF3"/>
    <w:rsid w:val="54DA7145"/>
    <w:rsid w:val="54F413E0"/>
    <w:rsid w:val="54FA3343"/>
    <w:rsid w:val="556829A3"/>
    <w:rsid w:val="55A84C13"/>
    <w:rsid w:val="55F259B1"/>
    <w:rsid w:val="56464697"/>
    <w:rsid w:val="56653928"/>
    <w:rsid w:val="567D7B45"/>
    <w:rsid w:val="569F2107"/>
    <w:rsid w:val="56A31EE4"/>
    <w:rsid w:val="56BC7955"/>
    <w:rsid w:val="56BE37C3"/>
    <w:rsid w:val="56F269C8"/>
    <w:rsid w:val="575A1E69"/>
    <w:rsid w:val="579B0E0D"/>
    <w:rsid w:val="57BD5228"/>
    <w:rsid w:val="57E22340"/>
    <w:rsid w:val="57E75E01"/>
    <w:rsid w:val="58690F0C"/>
    <w:rsid w:val="59326E77"/>
    <w:rsid w:val="59943D66"/>
    <w:rsid w:val="59A0270B"/>
    <w:rsid w:val="59C759D8"/>
    <w:rsid w:val="59DB3743"/>
    <w:rsid w:val="5A2055FA"/>
    <w:rsid w:val="5A274BDA"/>
    <w:rsid w:val="5A3B2BD8"/>
    <w:rsid w:val="5A4B6B1B"/>
    <w:rsid w:val="5A5233BE"/>
    <w:rsid w:val="5A5A4FB0"/>
    <w:rsid w:val="5A83669F"/>
    <w:rsid w:val="5AA708CA"/>
    <w:rsid w:val="5AE1122D"/>
    <w:rsid w:val="5B345801"/>
    <w:rsid w:val="5B3951AC"/>
    <w:rsid w:val="5B555777"/>
    <w:rsid w:val="5B7F7AA4"/>
    <w:rsid w:val="5BAF30D9"/>
    <w:rsid w:val="5BEC78DC"/>
    <w:rsid w:val="5C3133BD"/>
    <w:rsid w:val="5C336931"/>
    <w:rsid w:val="5C58107B"/>
    <w:rsid w:val="5C59540E"/>
    <w:rsid w:val="5C7659A5"/>
    <w:rsid w:val="5C78171D"/>
    <w:rsid w:val="5C9522F3"/>
    <w:rsid w:val="5CA54208"/>
    <w:rsid w:val="5CA711F8"/>
    <w:rsid w:val="5CBD35D4"/>
    <w:rsid w:val="5CD66444"/>
    <w:rsid w:val="5D3715D8"/>
    <w:rsid w:val="5D423AD9"/>
    <w:rsid w:val="5D487342"/>
    <w:rsid w:val="5D5A52C7"/>
    <w:rsid w:val="5D8B5480"/>
    <w:rsid w:val="5D946993"/>
    <w:rsid w:val="5DB669A1"/>
    <w:rsid w:val="5DBA4EB4"/>
    <w:rsid w:val="5DC10EA2"/>
    <w:rsid w:val="5DC307FA"/>
    <w:rsid w:val="5DC42740"/>
    <w:rsid w:val="5DD2614B"/>
    <w:rsid w:val="5DDE1A54"/>
    <w:rsid w:val="5DF5547E"/>
    <w:rsid w:val="5E6E75AC"/>
    <w:rsid w:val="5E937DA9"/>
    <w:rsid w:val="5ED510A9"/>
    <w:rsid w:val="5F107C5C"/>
    <w:rsid w:val="5F3E6C4E"/>
    <w:rsid w:val="5F50702F"/>
    <w:rsid w:val="5F5B0685"/>
    <w:rsid w:val="5F6B6043"/>
    <w:rsid w:val="5F927999"/>
    <w:rsid w:val="5F9E149B"/>
    <w:rsid w:val="5FB06EF5"/>
    <w:rsid w:val="5FC133DB"/>
    <w:rsid w:val="5FCB425A"/>
    <w:rsid w:val="5FCE4022"/>
    <w:rsid w:val="5FD41360"/>
    <w:rsid w:val="5FF732A1"/>
    <w:rsid w:val="5FF923DA"/>
    <w:rsid w:val="5FFE3CFF"/>
    <w:rsid w:val="602B6AA7"/>
    <w:rsid w:val="605F4D5E"/>
    <w:rsid w:val="60967D57"/>
    <w:rsid w:val="609F196E"/>
    <w:rsid w:val="60A971FB"/>
    <w:rsid w:val="60AE790C"/>
    <w:rsid w:val="60C45638"/>
    <w:rsid w:val="61127BCE"/>
    <w:rsid w:val="61193A0B"/>
    <w:rsid w:val="611B6B1B"/>
    <w:rsid w:val="6129748A"/>
    <w:rsid w:val="61827EF9"/>
    <w:rsid w:val="61C947C9"/>
    <w:rsid w:val="620D321D"/>
    <w:rsid w:val="628F1E33"/>
    <w:rsid w:val="62DE42A4"/>
    <w:rsid w:val="63380AEB"/>
    <w:rsid w:val="63471527"/>
    <w:rsid w:val="63921D3E"/>
    <w:rsid w:val="63C20AAD"/>
    <w:rsid w:val="63CB3C77"/>
    <w:rsid w:val="63E31B72"/>
    <w:rsid w:val="64127E15"/>
    <w:rsid w:val="64144421"/>
    <w:rsid w:val="6429154F"/>
    <w:rsid w:val="64B67DBB"/>
    <w:rsid w:val="64C6694E"/>
    <w:rsid w:val="64CD1AD5"/>
    <w:rsid w:val="64EC6A22"/>
    <w:rsid w:val="65385EEE"/>
    <w:rsid w:val="654E5711"/>
    <w:rsid w:val="657A6506"/>
    <w:rsid w:val="65B23EF2"/>
    <w:rsid w:val="65E733A7"/>
    <w:rsid w:val="6639539F"/>
    <w:rsid w:val="664036B8"/>
    <w:rsid w:val="66AF3A6A"/>
    <w:rsid w:val="66E30D6D"/>
    <w:rsid w:val="66FB3677"/>
    <w:rsid w:val="67F97FFA"/>
    <w:rsid w:val="6852376A"/>
    <w:rsid w:val="6884144A"/>
    <w:rsid w:val="68F465CF"/>
    <w:rsid w:val="690D7691"/>
    <w:rsid w:val="69A00928"/>
    <w:rsid w:val="69F32F6D"/>
    <w:rsid w:val="69F85C4B"/>
    <w:rsid w:val="6A554E4C"/>
    <w:rsid w:val="6A694D9B"/>
    <w:rsid w:val="6A6A0E44"/>
    <w:rsid w:val="6AA2357A"/>
    <w:rsid w:val="6B111D7A"/>
    <w:rsid w:val="6B3B4599"/>
    <w:rsid w:val="6B3C1D1C"/>
    <w:rsid w:val="6B43739A"/>
    <w:rsid w:val="6B563571"/>
    <w:rsid w:val="6B910106"/>
    <w:rsid w:val="6BB67B6C"/>
    <w:rsid w:val="6BC8505C"/>
    <w:rsid w:val="6BD36970"/>
    <w:rsid w:val="6BF13D3D"/>
    <w:rsid w:val="6BFB7C75"/>
    <w:rsid w:val="6C6C46CF"/>
    <w:rsid w:val="6C9003BD"/>
    <w:rsid w:val="6C9C4FB4"/>
    <w:rsid w:val="6CB322FE"/>
    <w:rsid w:val="6CC158AD"/>
    <w:rsid w:val="6CC24944"/>
    <w:rsid w:val="6CC422B2"/>
    <w:rsid w:val="6CD57C73"/>
    <w:rsid w:val="6CF43042"/>
    <w:rsid w:val="6D1859BB"/>
    <w:rsid w:val="6D2C16A8"/>
    <w:rsid w:val="6DAD3BA8"/>
    <w:rsid w:val="6DB9657F"/>
    <w:rsid w:val="6DF02BC2"/>
    <w:rsid w:val="6E0C7B11"/>
    <w:rsid w:val="6E7A1325"/>
    <w:rsid w:val="6E7F06E9"/>
    <w:rsid w:val="6E922B12"/>
    <w:rsid w:val="6F631DB9"/>
    <w:rsid w:val="6F704695"/>
    <w:rsid w:val="6F881820"/>
    <w:rsid w:val="6F9957DB"/>
    <w:rsid w:val="6F9D65B5"/>
    <w:rsid w:val="703D6AAE"/>
    <w:rsid w:val="703F3234"/>
    <w:rsid w:val="704241B9"/>
    <w:rsid w:val="709C6820"/>
    <w:rsid w:val="70BE01D5"/>
    <w:rsid w:val="70C41EB3"/>
    <w:rsid w:val="70FC0CF6"/>
    <w:rsid w:val="716B1B75"/>
    <w:rsid w:val="716C6002"/>
    <w:rsid w:val="71876217"/>
    <w:rsid w:val="7188407A"/>
    <w:rsid w:val="718D136F"/>
    <w:rsid w:val="71F17B50"/>
    <w:rsid w:val="71F66F14"/>
    <w:rsid w:val="71FE401B"/>
    <w:rsid w:val="7218260C"/>
    <w:rsid w:val="7238577F"/>
    <w:rsid w:val="72402885"/>
    <w:rsid w:val="729F75BD"/>
    <w:rsid w:val="72C9287B"/>
    <w:rsid w:val="7310016F"/>
    <w:rsid w:val="731E7DE9"/>
    <w:rsid w:val="734C5BFD"/>
    <w:rsid w:val="734D7008"/>
    <w:rsid w:val="735171B2"/>
    <w:rsid w:val="736A5E0C"/>
    <w:rsid w:val="738467A2"/>
    <w:rsid w:val="73951FDA"/>
    <w:rsid w:val="73C92407"/>
    <w:rsid w:val="74173885"/>
    <w:rsid w:val="741F6689"/>
    <w:rsid w:val="744511DB"/>
    <w:rsid w:val="745A323A"/>
    <w:rsid w:val="74BD5B87"/>
    <w:rsid w:val="74D3178F"/>
    <w:rsid w:val="74DF3CDB"/>
    <w:rsid w:val="75640639"/>
    <w:rsid w:val="75973D58"/>
    <w:rsid w:val="759A22AD"/>
    <w:rsid w:val="75BA64AB"/>
    <w:rsid w:val="75FF0C10"/>
    <w:rsid w:val="762B1026"/>
    <w:rsid w:val="76744178"/>
    <w:rsid w:val="76EC6B38"/>
    <w:rsid w:val="76EE465E"/>
    <w:rsid w:val="76FE5846"/>
    <w:rsid w:val="773E7BB3"/>
    <w:rsid w:val="77AB69F3"/>
    <w:rsid w:val="77DA2E34"/>
    <w:rsid w:val="77FC6D03"/>
    <w:rsid w:val="78174088"/>
    <w:rsid w:val="782D178F"/>
    <w:rsid w:val="78A97A5F"/>
    <w:rsid w:val="78C7785D"/>
    <w:rsid w:val="78D36201"/>
    <w:rsid w:val="78EC1071"/>
    <w:rsid w:val="790F6B0E"/>
    <w:rsid w:val="792620AF"/>
    <w:rsid w:val="79C922CD"/>
    <w:rsid w:val="7A0348C4"/>
    <w:rsid w:val="7A150154"/>
    <w:rsid w:val="7A5C2B58"/>
    <w:rsid w:val="7AE534E4"/>
    <w:rsid w:val="7B035A61"/>
    <w:rsid w:val="7B1330E0"/>
    <w:rsid w:val="7B922DF8"/>
    <w:rsid w:val="7BB85132"/>
    <w:rsid w:val="7BF24BF0"/>
    <w:rsid w:val="7C09112C"/>
    <w:rsid w:val="7C127041"/>
    <w:rsid w:val="7C490589"/>
    <w:rsid w:val="7C6B04FF"/>
    <w:rsid w:val="7C7E6484"/>
    <w:rsid w:val="7CBB76D8"/>
    <w:rsid w:val="7CF16C56"/>
    <w:rsid w:val="7D225061"/>
    <w:rsid w:val="7D2F777E"/>
    <w:rsid w:val="7D521855"/>
    <w:rsid w:val="7D623654"/>
    <w:rsid w:val="7D7B29C4"/>
    <w:rsid w:val="7DC861E9"/>
    <w:rsid w:val="7E257EF5"/>
    <w:rsid w:val="7E466AB8"/>
    <w:rsid w:val="7E511BEA"/>
    <w:rsid w:val="7EA877E8"/>
    <w:rsid w:val="7EB22415"/>
    <w:rsid w:val="7EBE0DBA"/>
    <w:rsid w:val="7EC871EC"/>
    <w:rsid w:val="7EF00320"/>
    <w:rsid w:val="7EF944E8"/>
    <w:rsid w:val="7F741DC0"/>
    <w:rsid w:val="7F7E679B"/>
  </w:rsids>
  <m:mathPr>
    <m:mathFont m:val="Cambria Math"/>
    <m:brkBin m:val="before"/>
    <m:brkBinSub m:val="--"/>
    <m:smallFrac m:val="0"/>
    <m:dispDef/>
    <m:lMargin m:val="56"/>
    <m:rMargin m:val="0"/>
    <m:defJc m:val="right"/>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pPr>
      <w:jc w:val="left"/>
    </w:pPr>
  </w:style>
  <w:style w:type="paragraph" w:styleId="14">
    <w:name w:val="Body Text"/>
    <w:basedOn w:val="1"/>
    <w:link w:val="91"/>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0"/>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8"/>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List"/>
    <w:basedOn w:val="1"/>
    <w:unhideWhenUsed/>
    <w:qFormat/>
    <w:uiPriority w:val="0"/>
    <w:pPr>
      <w:ind w:left="200" w:hanging="200" w:hangingChars="200"/>
    </w:p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4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1 字符"/>
    <w:link w:val="2"/>
    <w:qFormat/>
    <w:uiPriority w:val="0"/>
    <w:rPr>
      <w:b/>
      <w:bCs/>
      <w:kern w:val="44"/>
      <w:sz w:val="44"/>
      <w:szCs w:val="44"/>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19"/>
    <w:qFormat/>
    <w:uiPriority w:val="99"/>
    <w:rPr>
      <w:kern w:val="2"/>
      <w:sz w:val="18"/>
      <w:szCs w:val="18"/>
    </w:rPr>
  </w:style>
  <w:style w:type="character" w:customStyle="1" w:styleId="49">
    <w:name w:val="页脚 字符"/>
    <w:link w:val="18"/>
    <w:qFormat/>
    <w:uiPriority w:val="99"/>
    <w:rPr>
      <w:rFonts w:ascii="宋体"/>
      <w:kern w:val="2"/>
      <w:sz w:val="18"/>
      <w:szCs w:val="18"/>
    </w:rPr>
  </w:style>
  <w:style w:type="character" w:customStyle="1" w:styleId="50">
    <w:name w:val="批注框文本 字符"/>
    <w:link w:val="17"/>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link w:val="236"/>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link w:val="235"/>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2"/>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1">
    <w:name w:val="封面一致性程度标识"/>
    <w:link w:val="237"/>
    <w:qFormat/>
    <w:uiPriority w:val="0"/>
    <w:pPr>
      <w:spacing w:before="440" w:line="440" w:lineRule="exact"/>
      <w:jc w:val="center"/>
    </w:pPr>
    <w:rPr>
      <w:rFonts w:ascii="黑体" w:hAnsi="黑体" w:eastAsia="黑体" w:cs="黑体"/>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eastAsia="宋体" w:cs="Times New Roman"/>
      <w:sz w:val="21"/>
      <w:lang w:val="en-US" w:eastAsia="zh-CN" w:bidi="ar-SA"/>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eastAsia="宋体" w:cs="Times New Roman"/>
      <w:sz w:val="18"/>
      <w:lang w:val="en-US" w:eastAsia="zh-CN" w:bidi="ar-SA"/>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rPr>
      <w:rFonts w:ascii="黑体" w:hAnsi="黑体" w:eastAsia="黑体"/>
    </w:rPr>
  </w:style>
  <w:style w:type="paragraph" w:customStyle="1" w:styleId="229">
    <w:name w:val="标准文件_术语条二"/>
    <w:basedOn w:val="170"/>
    <w:next w:val="61"/>
    <w:qFormat/>
    <w:uiPriority w:val="0"/>
    <w:rPr>
      <w:rFonts w:ascii="黑体" w:hAnsi="黑体" w:eastAsia="黑体"/>
    </w:rPr>
  </w:style>
  <w:style w:type="paragraph" w:customStyle="1" w:styleId="230">
    <w:name w:val="标准文件_术语条三"/>
    <w:basedOn w:val="169"/>
    <w:next w:val="61"/>
    <w:qFormat/>
    <w:uiPriority w:val="0"/>
    <w:rPr>
      <w:rFonts w:ascii="黑体" w:hAnsi="黑体" w:eastAsia="黑体"/>
    </w:rPr>
  </w:style>
  <w:style w:type="paragraph" w:customStyle="1" w:styleId="231">
    <w:name w:val="标准文件_术语条四"/>
    <w:basedOn w:val="172"/>
    <w:next w:val="61"/>
    <w:qFormat/>
    <w:uiPriority w:val="0"/>
    <w:rPr>
      <w:rFonts w:ascii="黑体" w:eastAsia="黑体"/>
    </w:rPr>
  </w:style>
  <w:style w:type="paragraph" w:customStyle="1" w:styleId="232">
    <w:name w:val="标准文件_术语条五"/>
    <w:basedOn w:val="168"/>
    <w:next w:val="61"/>
    <w:qFormat/>
    <w:uiPriority w:val="0"/>
    <w:rPr>
      <w:rFonts w:ascii="黑体" w:hAnsi="黑体" w:eastAsia="黑体"/>
    </w:rPr>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标准称谓 Char"/>
    <w:link w:val="55"/>
    <w:qFormat/>
    <w:uiPriority w:val="0"/>
    <w:rPr>
      <w:rFonts w:ascii="宋体" w:hAnsi="Times New Roman" w:eastAsia="宋体" w:cs="Times New Roman"/>
      <w:b/>
      <w:bCs/>
      <w:w w:val="148"/>
      <w:sz w:val="52"/>
      <w:lang w:val="en-US" w:eastAsia="zh-CN" w:bidi="ar-SA"/>
    </w:rPr>
  </w:style>
  <w:style w:type="character" w:customStyle="1" w:styleId="236">
    <w:name w:val="标准标志 Char"/>
    <w:link w:val="54"/>
    <w:qFormat/>
    <w:uiPriority w:val="0"/>
    <w:rPr>
      <w:rFonts w:ascii="Times New Roman" w:hAnsi="Times New Roman" w:eastAsia="宋体" w:cs="Times New Roman"/>
      <w:b/>
      <w:w w:val="130"/>
      <w:sz w:val="96"/>
      <w:lang w:val="en-US" w:eastAsia="zh-CN" w:bidi="ar-SA"/>
    </w:rPr>
  </w:style>
  <w:style w:type="character" w:customStyle="1" w:styleId="237">
    <w:name w:val="封面一致性程度标识 Char"/>
    <w:link w:val="131"/>
    <w:qFormat/>
    <w:uiPriority w:val="0"/>
    <w:rPr>
      <w:rFonts w:ascii="黑体" w:hAnsi="黑体" w:eastAsia="黑体" w:cs="黑体"/>
      <w:sz w:val="28"/>
      <w:lang w:val="en-US" w:eastAsia="zh-CN" w:bidi="ar-SA"/>
    </w:rPr>
  </w:style>
  <w:style w:type="paragraph" w:customStyle="1" w:styleId="23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9">
    <w:name w:val="参考文献、索引标题"/>
    <w:basedOn w:val="1"/>
    <w:next w:val="2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0">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1">
    <w:name w:val="批注文字 字符"/>
    <w:basedOn w:val="32"/>
    <w:link w:val="13"/>
    <w:semiHidden/>
    <w:qFormat/>
    <w:uiPriority w:val="99"/>
    <w:rPr>
      <w:rFonts w:ascii="Calibri" w:hAnsi="Calibri"/>
      <w:kern w:val="2"/>
      <w:sz w:val="21"/>
      <w:szCs w:val="21"/>
    </w:rPr>
  </w:style>
  <w:style w:type="character" w:customStyle="1" w:styleId="242">
    <w:name w:val="批注主题 字符"/>
    <w:basedOn w:val="241"/>
    <w:link w:val="29"/>
    <w:semiHidden/>
    <w:qFormat/>
    <w:uiPriority w:val="99"/>
    <w:rPr>
      <w:rFonts w:ascii="Calibri" w:hAnsi="Calibri"/>
      <w:b/>
      <w:bCs/>
      <w:kern w:val="2"/>
      <w:sz w:val="21"/>
      <w:szCs w:val="21"/>
    </w:rPr>
  </w:style>
  <w:style w:type="character" w:customStyle="1" w:styleId="243">
    <w:name w:val="Unresolved Mention"/>
    <w:basedOn w:val="32"/>
    <w:semiHidden/>
    <w:unhideWhenUsed/>
    <w:qFormat/>
    <w:uiPriority w:val="99"/>
    <w:rPr>
      <w:color w:val="605E5C"/>
      <w:shd w:val="clear" w:color="auto" w:fill="E1DFDD"/>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 w:type="paragraph" w:customStyle="1" w:styleId="245">
    <w:name w:val="WPSOffice手动目录 2"/>
    <w:qFormat/>
    <w:uiPriority w:val="0"/>
    <w:pPr>
      <w:ind w:leftChars="200"/>
    </w:pPr>
    <w:rPr>
      <w:rFonts w:ascii="Times New Roman" w:hAnsi="Times New Roman" w:eastAsia="宋体" w:cs="Times New Roman"/>
      <w:sz w:val="20"/>
      <w:szCs w:val="20"/>
    </w:rPr>
  </w:style>
  <w:style w:type="paragraph" w:customStyle="1" w:styleId="246">
    <w:name w:val="终结线"/>
    <w:basedOn w:val="1"/>
    <w:autoRedefine/>
    <w:qFormat/>
    <w:uiPriority w:val="0"/>
    <w:pPr>
      <w:framePr w:hSpace="181" w:vSpace="181" w:wrap="around" w:vAnchor="text" w:hAnchor="margin" w:xAlign="center" w:y="285"/>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10</Pages>
  <Words>3532</Words>
  <Characters>4406</Characters>
  <Lines>70</Lines>
  <Paragraphs>19</Paragraphs>
  <TotalTime>6</TotalTime>
  <ScaleCrop>false</ScaleCrop>
  <LinksUpToDate>false</LinksUpToDate>
  <CharactersWithSpaces>4649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如实烦人</cp:lastModifiedBy>
  <cp:lastPrinted>2021-02-02T08:18:00Z</cp:lastPrinted>
  <dcterms:modified xsi:type="dcterms:W3CDTF">2026-07-01T09:10:52Z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2052-12.1.0.26895</vt:lpwstr>
  </property>
  <property fmtid="{D5CDD505-2E9C-101B-9397-08002B2CF9AE}" pid="15" name="ICV">
    <vt:lpwstr>5A38D011A577434CB1B15DA3A025814B_13</vt:lpwstr>
  </property>
  <property fmtid="{D5CDD505-2E9C-101B-9397-08002B2CF9AE}" pid="16" name="KSOTemplateDocerSaveRecord">
    <vt:lpwstr>eyJoZGlkIjoiZmJlMGFhZWEzZDdkZTM0M2Y4ZDBmOGE4ZjA5Yjg0OWYiLCJ1c2VySWQiOiI2MDM1NzMyNzEifQ==</vt:lpwstr>
  </property>
</Properties>
</file>