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34361">
      <w:pPr>
        <w:framePr w:w="904" w:h="1540" w:hRule="exact" w:wrap="around" w:vAnchor="page" w:hAnchor="page" w:x="8621" w:y="194"/>
        <w:widowControl/>
        <w:shd w:val="solid" w:color="FFFFFF" w:fill="FFFFFF"/>
        <w:spacing w:line="0" w:lineRule="atLeast"/>
        <w:rPr>
          <w:rFonts w:hint="eastAsia" w:ascii="等线" w:hAnsi="等线" w:eastAsia="等线" w:cs="等线"/>
          <w:b/>
          <w:w w:val="130"/>
          <w:kern w:val="0"/>
          <w:sz w:val="100"/>
          <w:szCs w:val="100"/>
        </w:rPr>
      </w:pPr>
      <w:r>
        <w:rPr>
          <w:rFonts w:hint="eastAsia" w:ascii="等线" w:hAnsi="等线" w:eastAsia="等线" w:cs="等线"/>
          <w:b/>
          <w:w w:val="130"/>
          <w:kern w:val="0"/>
          <w:sz w:val="110"/>
          <w:szCs w:val="110"/>
        </w:rPr>
        <w:t>T</w:t>
      </w:r>
    </w:p>
    <w:p w14:paraId="1EBA4B5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szCs w:val="22"/>
          <w:lang w:eastAsia="zh-CN"/>
        </w:rPr>
      </w:pPr>
    </w:p>
    <w:p w14:paraId="5BF4A1A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color w:val="FF0000"/>
          <w:szCs w:val="22"/>
          <w:lang w:val="en-US" w:eastAsia="zh-CN"/>
        </w:rPr>
      </w:pPr>
      <w:r>
        <w:rPr>
          <w:rFonts w:hint="eastAsia" w:ascii="黑体" w:hAnsi="黑体" w:eastAsia="黑体" w:cs="黑体"/>
          <w:szCs w:val="22"/>
        </w:rPr>
        <w:t xml:space="preserve">ICS </w:t>
      </w:r>
      <w:r>
        <w:rPr>
          <w:rFonts w:hint="eastAsia" w:ascii="黑体" w:hAnsi="黑体" w:eastAsia="黑体" w:cs="黑体"/>
          <w:szCs w:val="22"/>
          <w:lang w:val="en-US" w:eastAsia="zh-CN"/>
        </w:rPr>
        <w:t xml:space="preserve"> 13.340.99</w:t>
      </w:r>
      <w:r>
        <w:rPr>
          <w:rFonts w:hint="eastAsia" w:ascii="黑体" w:hAnsi="黑体" w:eastAsia="黑体" w:cs="黑体"/>
          <w:color w:val="FF0000"/>
          <w:szCs w:val="22"/>
        </w:rPr>
        <w:t xml:space="preserve">   </w:t>
      </w:r>
      <w:r>
        <w:rPr>
          <w:rFonts w:hint="eastAsia" w:ascii="黑体" w:hAnsi="黑体" w:eastAsia="黑体" w:cs="黑体"/>
          <w:color w:val="FF0000"/>
          <w:szCs w:val="22"/>
          <w:lang w:val="en-US" w:eastAsia="zh-CN"/>
        </w:rPr>
        <w:t xml:space="preserve">    </w:t>
      </w:r>
    </w:p>
    <w:p w14:paraId="02484EC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r>
        <w:rPr>
          <w:rFonts w:hint="eastAsia" w:ascii="黑体" w:hAnsi="黑体" w:eastAsia="黑体" w:cs="黑体"/>
          <w:szCs w:val="22"/>
        </w:rPr>
        <w:t xml:space="preserve">CCS  </w:t>
      </w:r>
      <w:r>
        <w:rPr>
          <w:rFonts w:hint="eastAsia" w:ascii="黑体" w:hAnsi="黑体" w:eastAsia="黑体" w:cs="黑体"/>
          <w:szCs w:val="22"/>
          <w:lang w:val="en-US" w:eastAsia="zh-CN"/>
        </w:rPr>
        <w:t>C 73</w:t>
      </w:r>
    </w:p>
    <w:p w14:paraId="1373853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szCs w:val="22"/>
          <w:lang w:val="en-US" w:eastAsia="zh-CN"/>
        </w:rPr>
      </w:pPr>
    </w:p>
    <w:p w14:paraId="2ADCE863">
      <w:pPr>
        <w:spacing w:beforeAutospacing="0" w:line="360" w:lineRule="auto"/>
        <w:jc w:val="distribute"/>
        <w:rPr>
          <w:rFonts w:hint="eastAsia" w:ascii="隶属" w:hAnsi="隶属" w:eastAsia="隶属" w:cs="隶属"/>
          <w:b/>
          <w:bCs/>
          <w:sz w:val="84"/>
          <w:szCs w:val="84"/>
        </w:rPr>
      </w:pPr>
      <w:r>
        <w:rPr>
          <w:rFonts w:hint="eastAsia" w:ascii="黑体" w:hAnsi="黑体" w:eastAsia="黑体" w:cs="黑体"/>
          <w:b/>
          <w:bCs/>
          <w:sz w:val="84"/>
          <w:szCs w:val="84"/>
        </w:rPr>
        <w:t>团体标准</w:t>
      </w:r>
    </w:p>
    <w:p w14:paraId="344E3D92">
      <w:pPr>
        <w:wordWrap w:val="0"/>
        <w:spacing w:line="360" w:lineRule="auto"/>
        <w:ind w:right="0" w:rightChars="0"/>
        <w:jc w:val="right"/>
        <w:rPr>
          <w:rFonts w:hint="eastAsia" w:ascii="Times New Roman" w:hAnsi="Times New Roman" w:eastAsia="黑体" w:cs="Times New Roman"/>
          <w:szCs w:val="22"/>
          <w:lang w:val="en-US" w:eastAsia="zh-CN"/>
        </w:rPr>
      </w:pPr>
      <w:r>
        <w:rPr>
          <w:rFonts w:ascii="Times New Roman" w:hAnsi="Times New Roman" w:eastAsia="宋体" w:cs="Times New Roman"/>
          <w:color w:val="FF0000"/>
          <w:szCs w:val="22"/>
        </w:rPr>
        <w:t xml:space="preserve"> </w:t>
      </w:r>
      <w:r>
        <w:rPr>
          <w:rFonts w:ascii="Times New Roman" w:hAnsi="Times New Roman" w:eastAsia="宋体" w:cs="Times New Roman"/>
          <w:szCs w:val="22"/>
        </w:rPr>
        <w:t xml:space="preserve">  </w:t>
      </w:r>
      <w:r>
        <w:rPr>
          <w:rFonts w:hint="eastAsia" w:ascii="Times New Roman" w:hAnsi="Times New Roman" w:cs="Times New Roman"/>
          <w:szCs w:val="22"/>
          <w:lang w:val="en-US" w:eastAsia="zh-CN"/>
        </w:rPr>
        <w:t xml:space="preserve"> </w:t>
      </w:r>
      <w:r>
        <w:rPr>
          <w:rFonts w:hint="eastAsia" w:ascii="黑体" w:hAnsi="黑体" w:eastAsia="黑体" w:cs="黑体"/>
          <w:sz w:val="28"/>
          <w:szCs w:val="28"/>
        </w:rPr>
        <w:t xml:space="preserve"> T/</w:t>
      </w:r>
      <w:r>
        <w:rPr>
          <w:rFonts w:hint="eastAsia" w:ascii="黑体" w:hAnsi="黑体" w:eastAsia="黑体" w:cs="黑体"/>
          <w:sz w:val="28"/>
          <w:szCs w:val="28"/>
          <w:lang w:val="en-US" w:eastAsia="zh-CN"/>
        </w:rPr>
        <w:t>CWDPA</w:t>
      </w:r>
      <w:r>
        <w:rPr>
          <w:rFonts w:hint="eastAsia" w:ascii="黑体" w:hAnsi="黑体" w:eastAsia="黑体" w:cs="黑体"/>
          <w:sz w:val="28"/>
          <w:szCs w:val="28"/>
        </w:rPr>
        <w:t xml:space="preserve"> </w:t>
      </w:r>
      <w:r>
        <w:rPr>
          <w:rFonts w:hint="eastAsia" w:ascii="黑体" w:hAnsi="黑体" w:eastAsia="黑体" w:cs="黑体"/>
          <w:sz w:val="28"/>
          <w:szCs w:val="28"/>
          <w:lang w:val="en-US" w:eastAsia="zh-CN"/>
        </w:rPr>
        <w:t>XXX</w:t>
      </w:r>
      <w:r>
        <w:rPr>
          <w:rFonts w:hint="eastAsia" w:ascii="黑体" w:hAnsi="黑体" w:eastAsia="黑体" w:cs="黑体"/>
          <w:sz w:val="28"/>
          <w:szCs w:val="28"/>
        </w:rPr>
        <w:t>—202</w:t>
      </w:r>
      <w:r>
        <w:rPr>
          <w:rFonts w:hint="eastAsia" w:ascii="黑体" w:hAnsi="黑体" w:eastAsia="黑体" w:cs="黑体"/>
          <w:sz w:val="28"/>
          <w:szCs w:val="28"/>
          <w:lang w:val="en-US" w:eastAsia="zh-CN"/>
        </w:rPr>
        <w:t>6</w:t>
      </w:r>
    </w:p>
    <w:p w14:paraId="582FB557">
      <w:pPr>
        <w:spacing w:line="360" w:lineRule="auto"/>
        <w:jc w:val="left"/>
        <w:rPr>
          <w:rFonts w:ascii="Times New Roman" w:hAnsi="Times New Roman" w:eastAsia="宋体" w:cs="Times New Roman"/>
          <w:szCs w:val="22"/>
        </w:rPr>
      </w:pPr>
      <w:r>
        <w:rPr>
          <w:rFonts w:ascii="Times New Roman" w:hAnsi="Times New Roman" w:eastAsia="宋体" w:cs="Times New Roman"/>
          <w:szCs w:val="22"/>
        </w:rPr>
        <w:drawing>
          <wp:inline distT="0" distB="0" distL="114300" distR="114300">
            <wp:extent cx="5525770" cy="10795"/>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525770" cy="10795"/>
                    </a:xfrm>
                    <a:prstGeom prst="rect">
                      <a:avLst/>
                    </a:prstGeom>
                    <a:noFill/>
                    <a:ln>
                      <a:noFill/>
                    </a:ln>
                  </pic:spPr>
                </pic:pic>
              </a:graphicData>
            </a:graphic>
          </wp:inline>
        </w:drawing>
      </w:r>
    </w:p>
    <w:p w14:paraId="25AC21B8">
      <w:pPr>
        <w:spacing w:line="360" w:lineRule="auto"/>
        <w:rPr>
          <w:rFonts w:ascii="Times New Roman" w:hAnsi="Times New Roman" w:eastAsia="宋体" w:cs="Times New Roman"/>
          <w:szCs w:val="22"/>
        </w:rPr>
      </w:pPr>
    </w:p>
    <w:p w14:paraId="2E3D06D4">
      <w:pPr>
        <w:spacing w:line="360" w:lineRule="auto"/>
        <w:rPr>
          <w:rFonts w:ascii="Times New Roman" w:hAnsi="Times New Roman" w:eastAsia="宋体" w:cs="Times New Roman"/>
          <w:szCs w:val="22"/>
        </w:rPr>
      </w:pPr>
    </w:p>
    <w:p w14:paraId="118AED41">
      <w:pPr>
        <w:spacing w:line="360" w:lineRule="auto"/>
        <w:jc w:val="center"/>
        <w:rPr>
          <w:rFonts w:ascii="Times New Roman" w:hAnsi="Times New Roman" w:eastAsia="黑体" w:cs="Times New Roman"/>
          <w:sz w:val="52"/>
          <w:szCs w:val="52"/>
        </w:rPr>
      </w:pPr>
    </w:p>
    <w:p w14:paraId="6D94EED4">
      <w:pPr>
        <w:spacing w:line="360" w:lineRule="auto"/>
        <w:jc w:val="center"/>
        <w:rPr>
          <w:rFonts w:ascii="Times New Roman" w:hAnsi="Times New Roman" w:eastAsia="黑体" w:cs="Times New Roman"/>
          <w:sz w:val="52"/>
          <w:szCs w:val="52"/>
        </w:rPr>
      </w:pPr>
    </w:p>
    <w:p w14:paraId="3A02617A">
      <w:pPr>
        <w:spacing w:line="360" w:lineRule="auto"/>
        <w:jc w:val="center"/>
        <w:rPr>
          <w:rFonts w:ascii="Times New Roman" w:hAnsi="Times New Roman" w:eastAsia="黑体" w:cs="Times New Roman"/>
          <w:szCs w:val="21"/>
        </w:rPr>
      </w:pPr>
      <w:r>
        <w:rPr>
          <w:rFonts w:hint="eastAsia" w:ascii="Times New Roman" w:hAnsi="Times New Roman" w:eastAsia="黑体" w:cs="Times New Roman"/>
          <w:sz w:val="52"/>
          <w:szCs w:val="52"/>
          <w:lang w:val="en-US" w:eastAsia="zh-CN"/>
        </w:rPr>
        <w:t>电力安全带</w:t>
      </w:r>
    </w:p>
    <w:p w14:paraId="5ECA8331">
      <w:pPr>
        <w:spacing w:line="360" w:lineRule="auto"/>
        <w:jc w:val="center"/>
        <w:rPr>
          <w:rFonts w:ascii="Times New Roman" w:hAnsi="Times New Roman" w:eastAsia="宋体" w:cs="Times New Roman"/>
          <w:szCs w:val="22"/>
        </w:rPr>
      </w:pPr>
      <w:r>
        <w:rPr>
          <w:rFonts w:hint="eastAsia" w:ascii="Times New Roman" w:hAnsi="Times New Roman" w:eastAsia="黑体" w:cs="Times New Roman"/>
          <w:sz w:val="28"/>
          <w:szCs w:val="28"/>
          <w:lang w:val="en-US" w:eastAsia="zh-CN"/>
        </w:rPr>
        <w:t>Electric safety belt</w:t>
      </w:r>
    </w:p>
    <w:p w14:paraId="1D00235A">
      <w:pPr>
        <w:spacing w:line="360" w:lineRule="auto"/>
        <w:jc w:val="both"/>
        <w:rPr>
          <w:rFonts w:ascii="Times New Roman" w:hAnsi="Times New Roman" w:eastAsia="宋体" w:cs="Times New Roman"/>
          <w:szCs w:val="22"/>
        </w:rPr>
      </w:pPr>
    </w:p>
    <w:p w14:paraId="2EC7DA65">
      <w:pPr>
        <w:spacing w:line="360" w:lineRule="auto"/>
        <w:rPr>
          <w:rFonts w:ascii="Times New Roman" w:hAnsi="Times New Roman" w:eastAsia="宋体" w:cs="Times New Roman"/>
          <w:szCs w:val="22"/>
        </w:rPr>
      </w:pPr>
    </w:p>
    <w:p w14:paraId="4B93F211">
      <w:pPr>
        <w:spacing w:line="360" w:lineRule="auto"/>
        <w:rPr>
          <w:rFonts w:ascii="Times New Roman" w:hAnsi="Times New Roman" w:eastAsia="宋体" w:cs="Times New Roman"/>
          <w:szCs w:val="22"/>
        </w:rPr>
      </w:pPr>
    </w:p>
    <w:p w14:paraId="21EB70ED">
      <w:pPr>
        <w:spacing w:line="360" w:lineRule="auto"/>
        <w:rPr>
          <w:rFonts w:ascii="Times New Roman" w:hAnsi="Times New Roman" w:eastAsia="宋体" w:cs="Times New Roman"/>
          <w:szCs w:val="22"/>
        </w:rPr>
      </w:pPr>
    </w:p>
    <w:p w14:paraId="6B55877D">
      <w:pPr>
        <w:spacing w:line="360" w:lineRule="auto"/>
        <w:rPr>
          <w:rFonts w:ascii="Times New Roman" w:hAnsi="Times New Roman" w:eastAsia="宋体" w:cs="Times New Roman"/>
          <w:szCs w:val="22"/>
        </w:rPr>
      </w:pPr>
    </w:p>
    <w:p w14:paraId="659402C9">
      <w:pPr>
        <w:spacing w:line="360" w:lineRule="auto"/>
        <w:jc w:val="left"/>
        <w:rPr>
          <w:rFonts w:ascii="Times New Roman" w:hAnsi="Times New Roman" w:eastAsia="黑体" w:cs="Times New Roman"/>
          <w:sz w:val="28"/>
          <w:szCs w:val="28"/>
        </w:rPr>
      </w:pPr>
    </w:p>
    <w:p w14:paraId="3C3CAA2E">
      <w:pPr>
        <w:spacing w:line="360" w:lineRule="auto"/>
        <w:jc w:val="left"/>
        <w:rPr>
          <w:rFonts w:ascii="Times New Roman" w:hAnsi="Times New Roman" w:eastAsia="黑体" w:cs="Times New Roman"/>
          <w:sz w:val="28"/>
          <w:szCs w:val="28"/>
        </w:rPr>
      </w:pPr>
    </w:p>
    <w:p w14:paraId="42E4069C">
      <w:pPr>
        <w:spacing w:line="360" w:lineRule="auto"/>
        <w:jc w:val="left"/>
        <w:rPr>
          <w:rFonts w:ascii="Times New Roman" w:hAnsi="Times New Roman" w:eastAsia="黑体" w:cs="Times New Roman"/>
          <w:sz w:val="28"/>
          <w:szCs w:val="28"/>
        </w:rPr>
      </w:pPr>
    </w:p>
    <w:p w14:paraId="669FB6DE">
      <w:pPr>
        <w:spacing w:line="360" w:lineRule="auto"/>
        <w:jc w:val="left"/>
        <w:rPr>
          <w:rFonts w:ascii="Times New Roman" w:hAnsi="Times New Roman" w:eastAsia="黑体" w:cs="Times New Roman"/>
          <w:sz w:val="28"/>
          <w:szCs w:val="28"/>
        </w:rPr>
      </w:pPr>
    </w:p>
    <w:p w14:paraId="00F547A5">
      <w:pPr>
        <w:spacing w:line="360" w:lineRule="auto"/>
        <w:jc w:val="left"/>
        <w:rPr>
          <w:rFonts w:ascii="Times New Roman" w:hAnsi="Times New Roman" w:eastAsia="黑体" w:cs="Times New Roman"/>
          <w:sz w:val="28"/>
          <w:szCs w:val="28"/>
        </w:rPr>
      </w:pPr>
    </w:p>
    <w:p w14:paraId="31D4674C">
      <w:pPr>
        <w:spacing w:line="360" w:lineRule="auto"/>
        <w:jc w:val="left"/>
        <w:rPr>
          <w:rFonts w:ascii="Times New Roman" w:hAnsi="Times New Roman" w:eastAsia="黑体" w:cs="Times New Roman"/>
          <w:sz w:val="28"/>
          <w:szCs w:val="28"/>
        </w:rPr>
      </w:pPr>
    </w:p>
    <w:p w14:paraId="6533516B">
      <w:pPr>
        <w:spacing w:line="360" w:lineRule="auto"/>
        <w:jc w:val="left"/>
        <w:rPr>
          <w:rFonts w:hint="eastAsia" w:ascii="黑体" w:hAnsi="黑体" w:eastAsia="黑体" w:cs="黑体"/>
          <w:sz w:val="52"/>
          <w:szCs w:val="52"/>
        </w:rPr>
      </w:pP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 xml:space="preserve">发布                                </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w:t>
      </w:r>
      <w:r>
        <w:rPr>
          <w:rFonts w:hint="eastAsia" w:ascii="黑体" w:hAnsi="黑体" w:eastAsia="黑体" w:cs="黑体"/>
          <w:sz w:val="28"/>
          <w:szCs w:val="28"/>
          <w:lang w:val="en-US" w:eastAsia="zh-CN"/>
        </w:rPr>
        <w:t>X</w:t>
      </w:r>
      <w:r>
        <w:rPr>
          <w:rFonts w:hint="eastAsia" w:ascii="黑体" w:hAnsi="黑体" w:eastAsia="黑体" w:cs="黑体"/>
          <w:sz w:val="28"/>
          <w:szCs w:val="28"/>
        </w:rPr>
        <w:t>-</w:t>
      </w:r>
      <w:r>
        <w:rPr>
          <w:rFonts w:hint="eastAsia" w:ascii="黑体" w:hAnsi="黑体" w:eastAsia="黑体" w:cs="黑体"/>
          <w:sz w:val="28"/>
          <w:szCs w:val="28"/>
          <w:lang w:val="en-US" w:eastAsia="zh-CN"/>
        </w:rPr>
        <w:t>XX</w:t>
      </w:r>
      <w:r>
        <w:rPr>
          <w:rFonts w:hint="eastAsia" w:ascii="黑体" w:hAnsi="黑体" w:eastAsia="黑体" w:cs="黑体"/>
          <w:sz w:val="28"/>
          <w:szCs w:val="28"/>
        </w:rPr>
        <w:t>实施</w:t>
      </w:r>
    </w:p>
    <w:p w14:paraId="067624B1">
      <w:pPr>
        <w:spacing w:line="360" w:lineRule="auto"/>
        <w:jc w:val="center"/>
        <w:rPr>
          <w:rFonts w:hint="eastAsia" w:ascii="黑体" w:hAnsi="黑体" w:eastAsia="黑体" w:cs="黑体"/>
          <w:szCs w:val="22"/>
        </w:rPr>
        <w:sectPr>
          <w:footerReference r:id="rId8" w:type="first"/>
          <w:footerReference r:id="rId6" w:type="default"/>
          <w:headerReference r:id="rId5" w:type="even"/>
          <w:footerReference r:id="rId7" w:type="even"/>
          <w:type w:val="continuous"/>
          <w:pgSz w:w="11906" w:h="16838"/>
          <w:pgMar w:top="590" w:right="1800" w:bottom="1157" w:left="1463" w:header="851" w:footer="992" w:gutter="0"/>
          <w:pgBorders>
            <w:top w:val="none" w:sz="0" w:space="0"/>
            <w:left w:val="none" w:sz="0" w:space="0"/>
            <w:bottom w:val="none" w:sz="0" w:space="0"/>
            <w:right w:val="none" w:sz="0" w:space="0"/>
          </w:pgBorders>
          <w:pgNumType w:fmt="upperRoman" w:start="2" w:chapStyle="1"/>
          <w:cols w:space="425" w:num="1"/>
          <w:titlePg/>
          <w:docGrid w:type="lines" w:linePitch="312" w:charSpace="0"/>
        </w:sectPr>
      </w:pPr>
      <w:r>
        <w:rPr>
          <w:rFonts w:hint="eastAsia" w:ascii="隶属" w:hAnsi="隶属" w:eastAsia="隶属" w:cs="隶属"/>
          <w:b/>
          <w:bCs/>
          <w:szCs w:val="22"/>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1270</wp:posOffset>
                </wp:positionV>
                <wp:extent cx="5504815" cy="20955"/>
                <wp:effectExtent l="0" t="4445" r="635" b="12700"/>
                <wp:wrapNone/>
                <wp:docPr id="3" name="直接箭头连接符 3"/>
                <wp:cNvGraphicFramePr/>
                <a:graphic xmlns:a="http://schemas.openxmlformats.org/drawingml/2006/main">
                  <a:graphicData uri="http://schemas.microsoft.com/office/word/2010/wordprocessingShape">
                    <wps:wsp>
                      <wps:cNvCnPr/>
                      <wps:spPr>
                        <a:xfrm flipV="1">
                          <a:off x="0" y="0"/>
                          <a:ext cx="5504815" cy="2095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5pt;margin-top:0.1pt;height:1.65pt;width:433.45pt;z-index:251660288;mso-width-relative:page;mso-height-relative:page;" filled="f" stroked="t" coordsize="21600,21600" o:gfxdata="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R7boDVAAAABQEAAA8AAAAAAAAAAQAgAAAAIgAA&#10;AGRycy9kb3ducmV2LnhtbFBLAQIUABQAAAAIAIdO4kBwqksACwIAAAQEAAAOAAAAAAAAAAEAIAAA&#10;ACQBAABkcnMvZTJvRG9jLnhtbFBLBQYAAAAABgAGAFkBAAChBQAAAAA=&#10;">
                <v:fill on="f" focussize="0,0"/>
                <v:stroke color="#000000" joinstyle="round"/>
                <v:imagedata o:title=""/>
                <o:lock v:ext="edit" aspectratio="f"/>
              </v:shape>
            </w:pict>
          </mc:Fallback>
        </mc:AlternateContent>
      </w:r>
      <w:r>
        <w:rPr>
          <w:rFonts w:hint="eastAsia" w:ascii="隶属" w:hAnsi="隶属" w:eastAsia="隶属" w:cs="隶属"/>
          <w:b/>
          <w:bCs/>
          <w:sz w:val="52"/>
          <w:szCs w:val="52"/>
          <w:lang w:eastAsia="zh-CN"/>
        </w:rPr>
        <w:t>中国西部开发促进会</w:t>
      </w:r>
      <w:r>
        <w:rPr>
          <w:rFonts w:hint="eastAsia" w:ascii="黑体" w:hAnsi="黑体" w:eastAsia="黑体" w:cs="黑体"/>
          <w:sz w:val="52"/>
          <w:szCs w:val="52"/>
        </w:rPr>
        <w:t xml:space="preserve"> </w:t>
      </w:r>
      <w:r>
        <w:rPr>
          <w:rFonts w:hint="eastAsia" w:ascii="黑体" w:hAnsi="黑体" w:eastAsia="黑体" w:cs="黑体"/>
          <w:sz w:val="28"/>
          <w:szCs w:val="28"/>
          <w:lang w:val="en-US" w:eastAsia="zh-CN"/>
        </w:rPr>
        <w:t>发 布</w:t>
      </w:r>
      <w:r>
        <w:rPr>
          <w:rFonts w:hint="eastAsia" w:ascii="黑体" w:hAnsi="黑体" w:eastAsia="黑体" w:cs="黑体"/>
          <w:sz w:val="52"/>
          <w:szCs w:val="52"/>
        </w:rPr>
        <w:t xml:space="preserve"> </w:t>
      </w:r>
    </w:p>
    <w:p w14:paraId="37987E63">
      <w:pPr>
        <w:pStyle w:val="21"/>
        <w:tabs>
          <w:tab w:val="clear" w:pos="4153"/>
          <w:tab w:val="clear" w:pos="8306"/>
        </w:tabs>
        <w:spacing w:line="240" w:lineRule="auto"/>
        <w:ind w:left="3" w:leftChars="0"/>
        <w:jc w:val="left"/>
        <w:rPr>
          <w:rFonts w:ascii="宋体" w:hAnsi="宋体"/>
          <w:sz w:val="28"/>
          <w:szCs w:val="28"/>
        </w:rPr>
      </w:pPr>
    </w:p>
    <w:sdt>
      <w:sdtPr>
        <w:rPr>
          <w:rFonts w:ascii="宋体" w:hAnsi="宋体" w:eastAsia="宋体" w:cs="Times New Roman"/>
          <w:kern w:val="2"/>
          <w:sz w:val="21"/>
          <w:szCs w:val="21"/>
          <w:lang w:val="en-US" w:eastAsia="zh-CN" w:bidi="ar-SA"/>
        </w:rPr>
        <w:id w:val="147478998"/>
        <w15:color w:val="DBDBDB"/>
        <w:docPartObj>
          <w:docPartGallery w:val="Table of Contents"/>
          <w:docPartUnique/>
        </w:docPartObj>
      </w:sdtPr>
      <w:sdtEndPr>
        <w:rPr>
          <w:rFonts w:hint="eastAsia" w:ascii="宋体" w:hAnsi="宋体" w:eastAsia="宋体" w:cs="宋体"/>
          <w:b/>
          <w:kern w:val="2"/>
          <w:sz w:val="21"/>
          <w:szCs w:val="21"/>
          <w:lang w:val="en-US" w:eastAsia="zh-CN" w:bidi="ar-SA"/>
        </w:rPr>
      </w:sdtEndPr>
      <w:sdtContent>
        <w:p w14:paraId="071C4F6B">
          <w:pPr>
            <w:keepNext w:val="0"/>
            <w:keepLines w:val="0"/>
            <w:pageBreakBefore w:val="0"/>
            <w:widowControl w:val="0"/>
            <w:kinsoku/>
            <w:wordWrap/>
            <w:overflowPunct/>
            <w:topLinePunct w:val="0"/>
            <w:autoSpaceDE/>
            <w:autoSpaceDN/>
            <w:bidi w:val="0"/>
            <w:adjustRightInd w:val="0"/>
            <w:snapToGrid/>
            <w:spacing w:before="850" w:beforeLines="0" w:after="680" w:afterLines="0" w:line="240" w:lineRule="auto"/>
            <w:ind w:left="0" w:leftChars="0" w:right="0" w:rightChars="0" w:firstLine="0" w:firstLineChars="0"/>
            <w:jc w:val="center"/>
            <w:textAlignment w:val="auto"/>
            <w:rPr>
              <w:rFonts w:hint="default" w:ascii="黑体" w:hAnsi="Calibri" w:eastAsia="黑体" w:cs="Times New Roman"/>
              <w:spacing w:val="320"/>
              <w:kern w:val="2"/>
              <w:sz w:val="32"/>
              <w:szCs w:val="21"/>
              <w:lang w:val="en-US" w:eastAsia="zh-CN" w:bidi="ar-SA"/>
            </w:rPr>
          </w:pPr>
          <w:bookmarkStart w:id="0" w:name="_Toc4779"/>
          <w:bookmarkStart w:id="1" w:name="qianyan"/>
          <w:bookmarkStart w:id="2" w:name="BookMark4"/>
          <w:r>
            <w:rPr>
              <w:rFonts w:ascii="黑体" w:hAnsi="Calibri" w:eastAsia="黑体" w:cs="Times New Roman"/>
              <w:spacing w:val="320"/>
              <w:kern w:val="2"/>
              <w:sz w:val="32"/>
              <w:szCs w:val="21"/>
              <w:lang w:val="en-US" w:eastAsia="zh-CN" w:bidi="ar-SA"/>
            </w:rPr>
            <w:t>目</w:t>
          </w:r>
          <w:r>
            <w:rPr>
              <w:rFonts w:hint="eastAsia" w:ascii="黑体" w:hAnsi="黑体" w:eastAsia="黑体" w:cs="黑体"/>
              <w:sz w:val="32"/>
              <w:szCs w:val="32"/>
            </w:rPr>
            <w:t>次</w:t>
          </w:r>
        </w:p>
        <w:p w14:paraId="5106941E">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"1-2" \h \u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_Toc8108 </w:instrText>
          </w:r>
          <w:r>
            <w:rPr>
              <w:rFonts w:hint="eastAsia" w:ascii="宋体" w:hAnsi="宋体" w:eastAsia="宋体" w:cs="宋体"/>
              <w:sz w:val="21"/>
              <w:szCs w:val="21"/>
            </w:rPr>
            <w:fldChar w:fldCharType="separate"/>
          </w:r>
          <w:r>
            <w:rPr>
              <w:rFonts w:hint="eastAsia" w:ascii="宋体" w:hAnsi="宋体" w:eastAsia="宋体" w:cs="宋体"/>
              <w:spacing w:val="317"/>
              <w:sz w:val="21"/>
              <w:szCs w:val="21"/>
            </w:rPr>
            <w:t>前</w:t>
          </w:r>
          <w:r>
            <w:rPr>
              <w:rFonts w:hint="eastAsia" w:ascii="宋体" w:hAnsi="宋体" w:eastAsia="宋体" w:cs="宋体"/>
              <w:sz w:val="21"/>
              <w:szCs w:val="21"/>
            </w:rPr>
            <w:t>言</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_Toc8108 \h </w:instrText>
          </w:r>
          <w:r>
            <w:rPr>
              <w:rFonts w:hint="eastAsia" w:ascii="宋体" w:hAnsi="宋体" w:eastAsia="宋体" w:cs="宋体"/>
              <w:sz w:val="21"/>
              <w:szCs w:val="21"/>
            </w:rPr>
            <w:fldChar w:fldCharType="separate"/>
          </w:r>
          <w:r>
            <w:rPr>
              <w:rFonts w:hint="eastAsia" w:ascii="宋体" w:hAnsi="宋体" w:eastAsia="宋体" w:cs="宋体"/>
              <w:sz w:val="21"/>
              <w:szCs w:val="21"/>
            </w:rPr>
            <w:t>II</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11DA537">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_Toc25965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1 </w:t>
          </w:r>
          <w:r>
            <w:rPr>
              <w:rFonts w:hint="eastAsia" w:ascii="宋体" w:hAnsi="宋体" w:eastAsia="宋体" w:cs="宋体"/>
              <w:sz w:val="21"/>
              <w:szCs w:val="21"/>
            </w:rPr>
            <w:t>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_Toc25965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B4A8F31">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_Toc10827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2 </w:t>
          </w:r>
          <w:r>
            <w:rPr>
              <w:rFonts w:hint="eastAsia" w:ascii="宋体" w:hAnsi="宋体" w:eastAsia="宋体" w:cs="宋体"/>
              <w:sz w:val="21"/>
              <w:szCs w:val="21"/>
            </w:rPr>
            <w:t>规范性引用文件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_Toc10827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2B3FB3B">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_Toc24572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3 </w:t>
          </w:r>
          <w:r>
            <w:rPr>
              <w:rFonts w:hint="eastAsia" w:ascii="宋体" w:hAnsi="宋体" w:eastAsia="宋体" w:cs="宋体"/>
              <w:sz w:val="21"/>
              <w:szCs w:val="21"/>
            </w:rPr>
            <w:t>术语和定义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_Toc24572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44E8A89">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_Toc17148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4 </w:t>
          </w:r>
          <w:r>
            <w:rPr>
              <w:rFonts w:hint="eastAsia" w:ascii="宋体" w:hAnsi="宋体" w:eastAsia="宋体" w:cs="宋体"/>
              <w:sz w:val="21"/>
              <w:szCs w:val="21"/>
              <w:lang w:val="en-US" w:eastAsia="zh-CN"/>
            </w:rPr>
            <w:t>分类与标记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_Toc17148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5BA9C67">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_Toc625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宋体" w:hAnsi="宋体" w:eastAsia="宋体" w:cs="宋体"/>
              <w:sz w:val="21"/>
              <w:szCs w:val="21"/>
            </w:rPr>
            <w:t>产品分类</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_Toc625 \h </w:instrText>
          </w:r>
          <w:r>
            <w:rPr>
              <w:rFonts w:hint="eastAsia" w:ascii="宋体" w:hAnsi="宋体" w:eastAsia="宋体" w:cs="宋体"/>
              <w:sz w:val="21"/>
              <w:szCs w:val="21"/>
            </w:rPr>
            <w:fldChar w:fldCharType="separate"/>
          </w:r>
          <w:r>
            <w:rPr>
              <w:rFonts w:hint="eastAsia" w:ascii="宋体" w:hAnsi="宋体" w:eastAsia="宋体" w:cs="宋体"/>
              <w:sz w:val="21"/>
              <w:szCs w:val="21"/>
            </w:rPr>
            <w:t>1</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1FE5DC5">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_Toc5711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宋体" w:hAnsi="宋体" w:eastAsia="宋体" w:cs="宋体"/>
              <w:sz w:val="21"/>
              <w:szCs w:val="21"/>
            </w:rPr>
            <w:t>产品标记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_Toc5711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0F5A8D4">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_Toc2799 </w:instrText>
          </w:r>
          <w:r>
            <w:rPr>
              <w:rFonts w:hint="eastAsia" w:ascii="宋体" w:hAnsi="宋体" w:eastAsia="宋体" w:cs="宋体"/>
              <w:sz w:val="21"/>
              <w:szCs w:val="21"/>
            </w:rPr>
            <w:fldChar w:fldCharType="separate"/>
          </w:r>
          <w:r>
            <w:rPr>
              <w:rFonts w:hint="eastAsia" w:ascii="宋体" w:hAnsi="宋体" w:eastAsia="宋体" w:cs="宋体"/>
              <w:i w:val="0"/>
              <w:sz w:val="21"/>
              <w:szCs w:val="21"/>
            </w:rPr>
            <w:t xml:space="preserve">5 </w:t>
          </w:r>
          <w:r>
            <w:rPr>
              <w:rFonts w:hint="eastAsia" w:ascii="宋体" w:hAnsi="宋体" w:eastAsia="宋体" w:cs="宋体"/>
              <w:sz w:val="21"/>
              <w:szCs w:val="21"/>
              <w:lang w:val="en-US" w:eastAsia="zh-CN"/>
            </w:rPr>
            <w:t>基本要求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_Toc2799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9659055">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_Toc26517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宋体" w:hAnsi="宋体" w:eastAsia="宋体" w:cs="宋体"/>
              <w:sz w:val="21"/>
              <w:szCs w:val="21"/>
              <w:lang w:val="en-US" w:eastAsia="zh-CN"/>
            </w:rPr>
            <w:t>原材料要求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_Toc26517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8D8825B">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宋体" w:hAnsi="宋体" w:eastAsia="宋体" w:cs="宋体"/>
              <w:sz w:val="21"/>
              <w:szCs w:val="21"/>
              <w:lang w:val="en-US" w:eastAsia="zh-CN"/>
            </w:rPr>
            <w:t>零部件要求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_Toc133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A192FCD">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_Toc19903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宋体" w:hAnsi="宋体" w:eastAsia="宋体" w:cs="宋体"/>
              <w:sz w:val="21"/>
              <w:szCs w:val="21"/>
              <w:lang w:val="en-US" w:eastAsia="zh-CN"/>
            </w:rPr>
            <w:t>结构与组成要求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_Toc19903 \h </w:instrText>
          </w:r>
          <w:r>
            <w:rPr>
              <w:rFonts w:hint="eastAsia" w:ascii="宋体" w:hAnsi="宋体" w:eastAsia="宋体" w:cs="宋体"/>
              <w:sz w:val="21"/>
              <w:szCs w:val="21"/>
            </w:rPr>
            <w:fldChar w:fldCharType="separate"/>
          </w:r>
          <w:r>
            <w:rPr>
              <w:rFonts w:hint="eastAsia" w:ascii="宋体" w:hAnsi="宋体" w:eastAsia="宋体" w:cs="宋体"/>
              <w:sz w:val="21"/>
              <w:szCs w:val="21"/>
            </w:rPr>
            <w:t>2</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008CD5B">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_Toc28639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rPr>
            <w:t xml:space="preserve">6 </w:t>
          </w:r>
          <w:r>
            <w:rPr>
              <w:rFonts w:hint="eastAsia" w:ascii="宋体" w:hAnsi="宋体" w:eastAsia="宋体" w:cs="宋体"/>
              <w:sz w:val="21"/>
              <w:szCs w:val="21"/>
              <w:lang w:val="en-US" w:eastAsia="zh-CN"/>
            </w:rPr>
            <w:t>技术要求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_Toc28639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DBC851C">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_Toc13896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宋体" w:hAnsi="宋体" w:eastAsia="宋体" w:cs="宋体"/>
              <w:sz w:val="21"/>
              <w:szCs w:val="21"/>
              <w:lang w:val="en-US" w:eastAsia="zh-CN"/>
            </w:rPr>
            <w:t>静态力学性能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_Toc13896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B96062A">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_Toc15903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6.2 </w:t>
          </w:r>
          <w:r>
            <w:rPr>
              <w:rFonts w:hint="eastAsia" w:ascii="宋体" w:hAnsi="宋体" w:eastAsia="宋体" w:cs="宋体"/>
              <w:sz w:val="21"/>
              <w:szCs w:val="21"/>
              <w:lang w:val="en-US" w:eastAsia="zh-CN"/>
            </w:rPr>
            <w:t>动态冲击坠落性能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_Toc15903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F528260">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_Toc12561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6.3 </w:t>
          </w:r>
          <w:r>
            <w:rPr>
              <w:rFonts w:hint="eastAsia" w:ascii="宋体" w:hAnsi="宋体" w:eastAsia="宋体" w:cs="宋体"/>
              <w:sz w:val="21"/>
              <w:szCs w:val="21"/>
              <w:lang w:val="en-US" w:eastAsia="zh-CN"/>
            </w:rPr>
            <w:t>电气安全性能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_Toc12561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9F6F6A3">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_Toc9672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6.4 </w:t>
          </w:r>
          <w:r>
            <w:rPr>
              <w:rFonts w:hint="eastAsia" w:ascii="宋体" w:hAnsi="宋体" w:eastAsia="宋体" w:cs="宋体"/>
              <w:sz w:val="21"/>
              <w:szCs w:val="21"/>
              <w:lang w:val="en-US" w:eastAsia="zh-CN"/>
            </w:rPr>
            <w:t>防静电性能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_Toc9672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DC89420">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_Toc22574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6.5 </w:t>
          </w:r>
          <w:r>
            <w:rPr>
              <w:rFonts w:hint="eastAsia" w:ascii="宋体" w:hAnsi="宋体" w:eastAsia="宋体" w:cs="宋体"/>
              <w:sz w:val="21"/>
              <w:szCs w:val="21"/>
              <w:lang w:val="en-US" w:eastAsia="zh-CN"/>
            </w:rPr>
            <w:t>阻燃性能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_Toc22574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EA0A6D8">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_Toc25547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6.6 </w:t>
          </w:r>
          <w:r>
            <w:rPr>
              <w:rFonts w:hint="eastAsia" w:ascii="宋体" w:hAnsi="宋体" w:eastAsia="宋体" w:cs="宋体"/>
              <w:sz w:val="21"/>
              <w:szCs w:val="21"/>
              <w:lang w:val="en-US" w:eastAsia="zh-CN"/>
            </w:rPr>
            <w:t>耐磨性能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_Toc25547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9F2629B">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_Toc6963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6.7 </w:t>
          </w:r>
          <w:r>
            <w:rPr>
              <w:rFonts w:hint="eastAsia" w:ascii="宋体" w:hAnsi="宋体" w:eastAsia="宋体" w:cs="宋体"/>
              <w:sz w:val="21"/>
              <w:szCs w:val="21"/>
              <w:lang w:val="en-US" w:eastAsia="zh-CN"/>
            </w:rPr>
            <w:t>耐环境老化性能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_Toc6963 \h </w:instrText>
          </w:r>
          <w:r>
            <w:rPr>
              <w:rFonts w:hint="eastAsia" w:ascii="宋体" w:hAnsi="宋体" w:eastAsia="宋体" w:cs="宋体"/>
              <w:sz w:val="21"/>
              <w:szCs w:val="21"/>
            </w:rPr>
            <w:fldChar w:fldCharType="separate"/>
          </w:r>
          <w:r>
            <w:rPr>
              <w:rFonts w:hint="eastAsia" w:ascii="宋体" w:hAnsi="宋体" w:eastAsia="宋体" w:cs="宋体"/>
              <w:sz w:val="21"/>
              <w:szCs w:val="21"/>
            </w:rPr>
            <w:t>3</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997B1FE">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_Toc24116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6.8 </w:t>
          </w:r>
          <w:r>
            <w:rPr>
              <w:rFonts w:hint="eastAsia" w:ascii="宋体" w:hAnsi="宋体" w:eastAsia="宋体" w:cs="宋体"/>
              <w:sz w:val="21"/>
              <w:szCs w:val="21"/>
              <w:lang w:val="en-US" w:eastAsia="zh-CN"/>
            </w:rPr>
            <w:t>耐腐蚀与耐电蚀性能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_Toc24116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BDB2A94">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_Toc12726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rPr>
            <w:t xml:space="preserve">7 </w:t>
          </w:r>
          <w:r>
            <w:rPr>
              <w:rFonts w:hint="eastAsia" w:ascii="宋体" w:hAnsi="宋体" w:eastAsia="宋体" w:cs="宋体"/>
              <w:sz w:val="21"/>
              <w:szCs w:val="21"/>
              <w:lang w:val="en-US" w:eastAsia="zh-CN"/>
            </w:rPr>
            <w:t>试验方法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_Toc12726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C8A6476">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_Toc6412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宋体" w:hAnsi="宋体" w:eastAsia="宋体" w:cs="宋体"/>
              <w:sz w:val="21"/>
              <w:szCs w:val="21"/>
              <w:lang w:val="en-US" w:eastAsia="zh-CN"/>
            </w:rPr>
            <w:t>试验条件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_Toc6412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5E0CA57">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_Toc22314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宋体" w:hAnsi="宋体" w:eastAsia="宋体" w:cs="宋体"/>
              <w:sz w:val="21"/>
              <w:szCs w:val="21"/>
              <w:lang w:val="en-US" w:eastAsia="zh-CN"/>
            </w:rPr>
            <w:t>静态力学性能试验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_Toc22314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0990781">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_Toc13153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宋体" w:hAnsi="宋体" w:eastAsia="宋体" w:cs="宋体"/>
              <w:sz w:val="21"/>
              <w:szCs w:val="21"/>
              <w:lang w:val="en-US" w:eastAsia="zh-CN"/>
            </w:rPr>
            <w:t>动态冲击坠落试验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_Toc13153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7B22230">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_Toc16954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宋体" w:hAnsi="宋体" w:eastAsia="宋体" w:cs="宋体"/>
              <w:sz w:val="21"/>
              <w:szCs w:val="21"/>
              <w:lang w:val="en-US" w:eastAsia="zh-CN"/>
            </w:rPr>
            <w:t>电气安全试验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_Toc16954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5682FA6">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_Toc13729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7.5 </w:t>
          </w:r>
          <w:r>
            <w:rPr>
              <w:rFonts w:hint="eastAsia" w:ascii="宋体" w:hAnsi="宋体" w:eastAsia="宋体" w:cs="宋体"/>
              <w:sz w:val="21"/>
              <w:szCs w:val="21"/>
              <w:lang w:val="en-US" w:eastAsia="zh-CN"/>
            </w:rPr>
            <w:t>防静电试验</w:t>
          </w:r>
          <w:bookmarkStart w:id="152" w:name="_GoBack"/>
          <w:bookmarkEnd w:id="152"/>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_Toc13729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B2D2DEF">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_Toc7243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7.6 </w:t>
          </w:r>
          <w:r>
            <w:rPr>
              <w:rFonts w:hint="eastAsia" w:ascii="宋体" w:hAnsi="宋体" w:eastAsia="宋体" w:cs="宋体"/>
              <w:sz w:val="21"/>
              <w:szCs w:val="21"/>
              <w:lang w:val="en-US" w:eastAsia="zh-CN"/>
            </w:rPr>
            <w:t>阻燃试验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_Toc7243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084F1FB">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_Toc928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7.7 </w:t>
          </w:r>
          <w:r>
            <w:rPr>
              <w:rFonts w:hint="eastAsia" w:ascii="宋体" w:hAnsi="宋体" w:eastAsia="宋体" w:cs="宋体"/>
              <w:sz w:val="21"/>
              <w:szCs w:val="21"/>
              <w:lang w:val="en-US" w:eastAsia="zh-CN"/>
            </w:rPr>
            <w:t>耐磨试验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_Toc928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F1A820F">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_Toc8662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7.8 </w:t>
          </w:r>
          <w:r>
            <w:rPr>
              <w:rFonts w:hint="eastAsia" w:ascii="宋体" w:hAnsi="宋体" w:eastAsia="宋体" w:cs="宋体"/>
              <w:sz w:val="21"/>
              <w:szCs w:val="21"/>
              <w:lang w:val="en-US" w:eastAsia="zh-CN"/>
            </w:rPr>
            <w:t>耐环境老化试验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_Toc8662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4935A13">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_Toc6150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7.9 </w:t>
          </w:r>
          <w:r>
            <w:rPr>
              <w:rFonts w:hint="eastAsia" w:ascii="宋体" w:hAnsi="宋体" w:eastAsia="宋体" w:cs="宋体"/>
              <w:sz w:val="21"/>
              <w:szCs w:val="21"/>
              <w:lang w:val="en-US" w:eastAsia="zh-CN"/>
            </w:rPr>
            <w:t>耐腐蚀与耐电蚀试验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_Toc6150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8B1D236">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_Toc6830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bidi="ar-SA"/>
            </w:rPr>
            <w:t xml:space="preserve">8 </w:t>
          </w:r>
          <w:r>
            <w:rPr>
              <w:rFonts w:hint="eastAsia" w:ascii="宋体" w:hAnsi="宋体" w:eastAsia="宋体" w:cs="宋体"/>
              <w:sz w:val="21"/>
              <w:szCs w:val="21"/>
              <w:lang w:val="en-US" w:eastAsia="zh-CN" w:bidi="ar-SA"/>
            </w:rPr>
            <w:t>检验规则</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_Toc6830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1B5A7A0D">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_Toc7163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宋体" w:hAnsi="宋体" w:eastAsia="宋体" w:cs="宋体"/>
              <w:bCs w:val="0"/>
              <w:sz w:val="21"/>
              <w:szCs w:val="21"/>
              <w:lang w:val="en-US" w:eastAsia="zh-CN" w:bidi="ar-SA"/>
            </w:rPr>
            <w:t>检验分类</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_Toc7163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69279A8A">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_Toc4473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宋体" w:hAnsi="宋体" w:eastAsia="宋体" w:cs="宋体"/>
              <w:bCs w:val="0"/>
              <w:sz w:val="21"/>
              <w:szCs w:val="21"/>
              <w:lang w:val="en-US" w:eastAsia="zh-CN" w:bidi="ar-SA"/>
            </w:rPr>
            <w:t>出厂检验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_Toc4473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FCF3215">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_Toc17726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8.3 </w:t>
          </w:r>
          <w:r>
            <w:rPr>
              <w:rFonts w:hint="eastAsia" w:ascii="宋体" w:hAnsi="宋体" w:eastAsia="宋体" w:cs="宋体"/>
              <w:bCs w:val="0"/>
              <w:sz w:val="21"/>
              <w:szCs w:val="21"/>
              <w:lang w:val="en-US" w:eastAsia="zh-CN" w:bidi="ar-SA"/>
            </w:rPr>
            <w:t>型式检验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_Toc17726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2D25BE73">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_Toc11232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8.4 </w:t>
          </w:r>
          <w:r>
            <w:rPr>
              <w:rFonts w:hint="eastAsia" w:ascii="宋体" w:hAnsi="宋体" w:eastAsia="宋体" w:cs="宋体"/>
              <w:bCs w:val="0"/>
              <w:sz w:val="21"/>
              <w:szCs w:val="21"/>
              <w:lang w:val="en-US" w:eastAsia="zh-CN" w:bidi="ar-SA"/>
            </w:rPr>
            <w:t>检验报告</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_Toc11232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7311376">
          <w:pPr>
            <w:pStyle w:val="22"/>
            <w:tabs>
              <w:tab w:val="right" w:leader="dot" w:pos="935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_Toc30234 </w:instrText>
          </w:r>
          <w:r>
            <w:rPr>
              <w:rFonts w:hint="eastAsia" w:ascii="宋体" w:hAnsi="宋体" w:eastAsia="宋体" w:cs="宋体"/>
              <w:sz w:val="21"/>
              <w:szCs w:val="21"/>
            </w:rPr>
            <w:fldChar w:fldCharType="separate"/>
          </w:r>
          <w:r>
            <w:rPr>
              <w:rFonts w:hint="eastAsia" w:ascii="宋体" w:hAnsi="宋体" w:eastAsia="宋体" w:cs="宋体"/>
              <w:i w:val="0"/>
              <w:sz w:val="21"/>
              <w:szCs w:val="21"/>
              <w:lang w:val="en-US" w:eastAsia="zh-CN" w:bidi="ar-SA"/>
            </w:rPr>
            <w:t xml:space="preserve">9 </w:t>
          </w:r>
          <w:r>
            <w:rPr>
              <w:rFonts w:hint="eastAsia" w:ascii="宋体" w:hAnsi="宋体" w:eastAsia="宋体" w:cs="宋体"/>
              <w:sz w:val="21"/>
              <w:szCs w:val="21"/>
              <w:lang w:val="en-US" w:eastAsia="zh-CN" w:bidi="ar-SA"/>
            </w:rPr>
            <w:t>标志、包装、运输和贮存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_Toc30234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73F429DD">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_Toc20796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9.1 </w:t>
          </w:r>
          <w:r>
            <w:rPr>
              <w:rFonts w:hint="eastAsia" w:ascii="宋体" w:hAnsi="宋体" w:eastAsia="宋体" w:cs="宋体"/>
              <w:sz w:val="21"/>
              <w:szCs w:val="21"/>
              <w:lang w:val="en-US" w:eastAsia="zh-CN" w:bidi="ar-SA"/>
            </w:rPr>
            <w:t>标志</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_Toc20796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C173DE5">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_Toc13776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9.2 </w:t>
          </w:r>
          <w:r>
            <w:rPr>
              <w:rFonts w:hint="eastAsia" w:ascii="宋体" w:hAnsi="宋体" w:eastAsia="宋体" w:cs="宋体"/>
              <w:sz w:val="21"/>
              <w:szCs w:val="21"/>
              <w:lang w:val="en-US" w:eastAsia="zh-CN" w:bidi="ar-SA"/>
            </w:rPr>
            <w:t>包装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_Toc13776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48E2DD43">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_Toc31704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9.3 </w:t>
          </w:r>
          <w:r>
            <w:rPr>
              <w:rFonts w:hint="eastAsia" w:ascii="宋体" w:hAnsi="宋体" w:eastAsia="宋体" w:cs="宋体"/>
              <w:sz w:val="21"/>
              <w:szCs w:val="21"/>
              <w:lang w:val="en-US" w:eastAsia="zh-CN" w:bidi="ar-SA"/>
            </w:rPr>
            <w:t>运输</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_Toc31704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395D7CE9">
          <w:pPr>
            <w:pStyle w:val="28"/>
            <w:tabs>
              <w:tab w:val="right" w:leader="dot" w:pos="9354"/>
              <w:tab w:val="clear" w:pos="9344"/>
            </w:tabs>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\l _Toc3432 </w:instrText>
          </w:r>
          <w:r>
            <w:rPr>
              <w:rFonts w:hint="eastAsia" w:ascii="宋体" w:hAnsi="宋体" w:eastAsia="宋体" w:cs="宋体"/>
              <w:sz w:val="21"/>
              <w:szCs w:val="21"/>
            </w:rPr>
            <w:fldChar w:fldCharType="separate"/>
          </w:r>
          <w:r>
            <w:rPr>
              <w:rFonts w:hint="eastAsia" w:ascii="宋体" w:hAnsi="宋体" w:eastAsia="宋体" w:cs="宋体"/>
              <w:bCs w:val="0"/>
              <w:i w:val="0"/>
              <w:iCs w:val="0"/>
              <w:caps w:val="0"/>
              <w:smallCaps w:val="0"/>
              <w:strike w:val="0"/>
              <w:dstrike w:val="0"/>
              <w:vanish w:val="0"/>
              <w:spacing w:val="0"/>
              <w:kern w:val="0"/>
              <w:position w:val="0"/>
              <w:sz w:val="21"/>
              <w:szCs w:val="21"/>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9.4 </w:t>
          </w:r>
          <w:r>
            <w:rPr>
              <w:rFonts w:hint="eastAsia" w:ascii="宋体" w:hAnsi="宋体" w:eastAsia="宋体" w:cs="宋体"/>
              <w:sz w:val="21"/>
              <w:szCs w:val="21"/>
              <w:lang w:val="en-US" w:eastAsia="zh-CN" w:bidi="ar-SA"/>
            </w:rPr>
            <w:t>贮存</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_Toc3432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59BC32F2">
          <w:pPr>
            <w:pStyle w:val="96"/>
            <w:keepNext w:val="0"/>
            <w:keepLines w:val="0"/>
            <w:pageBreakBefore w:val="0"/>
            <w:numPr>
              <w:ilvl w:val="0"/>
              <w:numId w:val="0"/>
            </w:numPr>
            <w:kinsoku/>
            <w:wordWrap/>
            <w:overflowPunct/>
            <w:topLinePunct w:val="0"/>
            <w:autoSpaceDE/>
            <w:autoSpaceDN/>
            <w:bidi w:val="0"/>
            <w:snapToGrid/>
            <w:spacing w:before="0" w:after="0" w:line="400" w:lineRule="exact"/>
            <w:ind w:leftChars="0"/>
            <w:jc w:val="both"/>
            <w:textAlignment w:val="auto"/>
            <w:rPr>
              <w:rFonts w:hint="eastAsia" w:ascii="宋体" w:hAnsi="宋体" w:eastAsia="宋体" w:cs="宋体"/>
              <w:sz w:val="21"/>
              <w:szCs w:val="21"/>
            </w:rPr>
            <w:sectPr>
              <w:headerReference r:id="rId9" w:type="default"/>
              <w:footerReference r:id="rId10" w:type="default"/>
              <w:pgSz w:w="11906" w:h="16838"/>
              <w:pgMar w:top="1928" w:right="1134" w:bottom="1134" w:left="1134" w:header="1418" w:footer="1134" w:gutter="284"/>
              <w:pgNumType w:fmt="upperRoman" w:start="2"/>
              <w:cols w:space="425" w:num="1"/>
              <w:formProt w:val="0"/>
              <w:docGrid w:linePitch="312" w:charSpace="0"/>
            </w:sectPr>
          </w:pPr>
          <w:r>
            <w:rPr>
              <w:rFonts w:hint="eastAsia" w:ascii="宋体" w:hAnsi="宋体" w:eastAsia="宋体" w:cs="宋体"/>
              <w:sz w:val="21"/>
              <w:szCs w:val="21"/>
            </w:rPr>
            <w:fldChar w:fldCharType="end"/>
          </w:r>
        </w:p>
      </w:sdtContent>
    </w:sdt>
    <w:p w14:paraId="55177810">
      <w:pPr>
        <w:pStyle w:val="96"/>
      </w:pPr>
      <w:bookmarkStart w:id="3" w:name="_Toc29793"/>
      <w:bookmarkStart w:id="4" w:name="_Toc8108"/>
      <w:r>
        <w:rPr>
          <w:rFonts w:hint="eastAsia"/>
          <w:spacing w:val="317"/>
        </w:rPr>
        <w:t>前</w:t>
      </w:r>
      <w:r>
        <w:rPr>
          <w:rFonts w:hint="eastAsia"/>
        </w:rPr>
        <w:t>言</w:t>
      </w:r>
      <w:bookmarkEnd w:id="0"/>
      <w:bookmarkEnd w:id="3"/>
      <w:bookmarkEnd w:id="4"/>
    </w:p>
    <w:p w14:paraId="3A920D21">
      <w:pPr>
        <w:pStyle w:val="63"/>
        <w:rPr>
          <w:rFonts w:hint="eastAsia"/>
        </w:rPr>
      </w:pPr>
      <w:r>
        <w:rPr>
          <w:rFonts w:hint="eastAsia"/>
        </w:rPr>
        <w:t>本文件按照GB/T 1.1—2020《标准化工作导则  第1部分：标准化文件的结构和起草规则》的规定起草。</w:t>
      </w:r>
    </w:p>
    <w:p w14:paraId="6513B45D">
      <w:pPr>
        <w:pStyle w:val="63"/>
        <w:rPr>
          <w:rFonts w:hint="eastAsia"/>
        </w:rPr>
      </w:pPr>
      <w:r>
        <w:rPr>
          <w:rFonts w:hint="eastAsia"/>
        </w:rPr>
        <w:t>请注意本文件的某些内容可能涉及专利。本文件的发布机构不承担识别专利的责任。</w:t>
      </w:r>
    </w:p>
    <w:p w14:paraId="26FB70E9">
      <w:pPr>
        <w:pStyle w:val="63"/>
        <w:rPr>
          <w:rFonts w:hint="eastAsia"/>
        </w:rPr>
      </w:pPr>
      <w:r>
        <w:rPr>
          <w:rFonts w:hint="eastAsia"/>
        </w:rPr>
        <w:t>本文件由中国西部开发促进会提出并归口。</w:t>
      </w:r>
    </w:p>
    <w:p w14:paraId="317F4069">
      <w:pPr>
        <w:pStyle w:val="63"/>
        <w:rPr>
          <w:rFonts w:hint="eastAsia"/>
        </w:rPr>
      </w:pPr>
      <w:r>
        <w:rPr>
          <w:rFonts w:hint="eastAsia"/>
        </w:rPr>
        <w:t>本文件起草单位：。</w:t>
      </w:r>
    </w:p>
    <w:p w14:paraId="54841851">
      <w:pPr>
        <w:pStyle w:val="63"/>
        <w:rPr>
          <w:rFonts w:hint="eastAsia"/>
        </w:rPr>
      </w:pPr>
      <w:r>
        <w:rPr>
          <w:rFonts w:hint="eastAsia"/>
        </w:rPr>
        <w:t>本文件主要起草人：。</w:t>
      </w:r>
    </w:p>
    <w:p w14:paraId="5908401F">
      <w:pPr>
        <w:pStyle w:val="63"/>
        <w:rPr>
          <w:rFonts w:hint="eastAsia"/>
        </w:rPr>
      </w:pPr>
      <w:r>
        <w:rPr>
          <w:rFonts w:hint="eastAsia"/>
        </w:rPr>
        <w:t>本文件为首次发布。</w:t>
      </w:r>
    </w:p>
    <w:p w14:paraId="1BC9CDF4"/>
    <w:p w14:paraId="073A27D9">
      <w:pPr>
        <w:sectPr>
          <w:pgSz w:w="11906" w:h="16838"/>
          <w:pgMar w:top="1928" w:right="1134" w:bottom="1134" w:left="1134" w:header="1418" w:footer="1134" w:gutter="284"/>
          <w:pgNumType w:fmt="upperRoman" w:start="2"/>
          <w:cols w:space="425" w:num="1"/>
          <w:formProt w:val="0"/>
          <w:docGrid w:linePitch="312" w:charSpace="0"/>
        </w:sectPr>
      </w:pPr>
    </w:p>
    <w:bookmarkEnd w:id="1"/>
    <w:p w14:paraId="27EED881">
      <w:pPr>
        <w:spacing w:line="20" w:lineRule="exact"/>
        <w:jc w:val="center"/>
        <w:rPr>
          <w:rFonts w:ascii="黑体" w:hAnsi="黑体" w:eastAsia="黑体"/>
          <w:sz w:val="32"/>
          <w:szCs w:val="32"/>
        </w:rPr>
      </w:pPr>
    </w:p>
    <w:p w14:paraId="10F49A4E">
      <w:pPr>
        <w:spacing w:line="20" w:lineRule="exact"/>
        <w:jc w:val="center"/>
        <w:rPr>
          <w:rFonts w:ascii="黑体" w:hAnsi="黑体" w:eastAsia="黑体"/>
          <w:sz w:val="32"/>
          <w:szCs w:val="32"/>
        </w:rPr>
      </w:pPr>
    </w:p>
    <w:p w14:paraId="12D05E78">
      <w:pPr>
        <w:pStyle w:val="184"/>
      </w:pPr>
      <w:bookmarkStart w:id="5" w:name="NEW_STAND_NAME"/>
      <w:sdt>
        <w:sdtPr>
          <w:rPr>
            <w:rFonts w:hAnsi="宋体"/>
            <w:lang w:bidi="ar"/>
          </w:rPr>
          <w:tag w:val="mainTextTitle"/>
          <w:id w:val="147453193"/>
          <w:placeholder>
            <w:docPart w:val="{ee073880-b451-4ff0-9253-5135824a1eff}"/>
          </w:placeholder>
        </w:sdtPr>
        <w:sdtEndPr>
          <w:rPr>
            <w:rFonts w:hint="eastAsia" w:hAnsi="宋体"/>
            <w:lang w:bidi="ar"/>
          </w:rPr>
        </w:sdtEndPr>
        <w:sdtContent>
          <w:r>
            <w:rPr>
              <w:rFonts w:hint="eastAsia" w:hAnsi="宋体"/>
              <w:lang w:bidi="ar"/>
            </w:rPr>
            <w:t>电力安全带</w:t>
          </w:r>
        </w:sdtContent>
      </w:sdt>
      <w:bookmarkEnd w:id="5"/>
    </w:p>
    <w:p w14:paraId="5EC4DF4C">
      <w:pPr>
        <w:pStyle w:val="111"/>
        <w:spacing w:before="240" w:after="240"/>
      </w:pPr>
      <w:bookmarkStart w:id="6" w:name="_Toc26986530"/>
      <w:bookmarkStart w:id="7" w:name="_Toc26986771"/>
      <w:bookmarkStart w:id="8" w:name="_Toc24884218"/>
      <w:bookmarkStart w:id="9" w:name="_Toc17233333"/>
      <w:bookmarkStart w:id="10" w:name="_Toc12505"/>
      <w:bookmarkStart w:id="11" w:name="_Toc12617"/>
      <w:bookmarkStart w:id="12" w:name="_Toc26648465"/>
      <w:bookmarkStart w:id="13" w:name="_Toc26718930"/>
      <w:bookmarkStart w:id="14" w:name="_Toc97195091"/>
      <w:bookmarkStart w:id="15" w:name="_Toc24884211"/>
      <w:bookmarkStart w:id="16" w:name="_Toc25965"/>
      <w:bookmarkStart w:id="17" w:name="_Toc17233325"/>
      <w:r>
        <w:rPr>
          <w:rFonts w:hint="eastAsia"/>
        </w:rPr>
        <w:t>范围</w:t>
      </w:r>
      <w:bookmarkEnd w:id="6"/>
      <w:bookmarkEnd w:id="7"/>
      <w:bookmarkEnd w:id="8"/>
      <w:bookmarkEnd w:id="9"/>
      <w:bookmarkEnd w:id="10"/>
      <w:bookmarkEnd w:id="11"/>
      <w:bookmarkEnd w:id="12"/>
      <w:bookmarkEnd w:id="13"/>
      <w:bookmarkEnd w:id="14"/>
      <w:bookmarkEnd w:id="15"/>
      <w:bookmarkEnd w:id="16"/>
      <w:bookmarkEnd w:id="17"/>
    </w:p>
    <w:p w14:paraId="62CF120A">
      <w:pPr>
        <w:pStyle w:val="63"/>
        <w:rPr>
          <w:rFonts w:hint="eastAsia"/>
        </w:rPr>
      </w:pPr>
      <w:bookmarkStart w:id="18" w:name="_Toc26648466"/>
      <w:bookmarkStart w:id="19" w:name="_Toc17233326"/>
      <w:bookmarkStart w:id="20" w:name="_Toc24884219"/>
      <w:bookmarkStart w:id="21" w:name="_Toc24884212"/>
      <w:bookmarkStart w:id="22" w:name="_Toc17233334"/>
      <w:r>
        <w:rPr>
          <w:rFonts w:hint="eastAsia"/>
        </w:rPr>
        <w:t>本文件规定了电力安全带的分类与标记、</w:t>
      </w:r>
      <w:r>
        <w:rPr>
          <w:rFonts w:hint="eastAsia"/>
          <w:lang w:val="en-US" w:eastAsia="zh-CN"/>
        </w:rPr>
        <w:t>基本</w:t>
      </w:r>
      <w:r>
        <w:rPr>
          <w:rFonts w:hint="eastAsia"/>
        </w:rPr>
        <w:t>要求、技术要求、试验方法、检验规则、</w:t>
      </w:r>
      <w:r>
        <w:rPr>
          <w:rFonts w:hint="eastAsia"/>
          <w:lang w:val="en-US" w:eastAsia="zh-CN"/>
        </w:rPr>
        <w:t>标志</w:t>
      </w:r>
      <w:r>
        <w:rPr>
          <w:rFonts w:hint="eastAsia"/>
          <w:lang w:eastAsia="zh-CN"/>
        </w:rPr>
        <w:t>、</w:t>
      </w:r>
      <w:r>
        <w:rPr>
          <w:rFonts w:hint="eastAsia"/>
        </w:rPr>
        <w:t>包装</w:t>
      </w:r>
      <w:r>
        <w:rPr>
          <w:rFonts w:hint="eastAsia"/>
          <w:lang w:eastAsia="zh-CN"/>
        </w:rPr>
        <w:t>、</w:t>
      </w:r>
      <w:r>
        <w:rPr>
          <w:rFonts w:hint="eastAsia"/>
        </w:rPr>
        <w:t>运输</w:t>
      </w:r>
      <w:r>
        <w:rPr>
          <w:rFonts w:hint="eastAsia"/>
          <w:lang w:val="en-US" w:eastAsia="zh-CN"/>
        </w:rPr>
        <w:t>和</w:t>
      </w:r>
      <w:r>
        <w:rPr>
          <w:rFonts w:hint="eastAsia"/>
        </w:rPr>
        <w:t>贮存。</w:t>
      </w:r>
    </w:p>
    <w:p w14:paraId="3854AD99">
      <w:pPr>
        <w:pStyle w:val="63"/>
        <w:rPr>
          <w:rFonts w:hint="eastAsia"/>
          <w:lang w:eastAsia="zh-CN"/>
        </w:rPr>
      </w:pPr>
      <w:r>
        <w:rPr>
          <w:rFonts w:hint="eastAsia"/>
          <w:lang w:eastAsia="zh-CN"/>
        </w:rPr>
        <w:t>本文件适用于电力行业输电线路架设、杆塔检修、变电站高空运维、配电作业、带电高空操作等场景中，作业人员预防坠落、坠落缓冲及高空定位所用的专用安全带（以下简称“安全带”）。</w:t>
      </w:r>
    </w:p>
    <w:p w14:paraId="6E83A890">
      <w:pPr>
        <w:pStyle w:val="111"/>
        <w:spacing w:before="240" w:after="240"/>
      </w:pPr>
      <w:bookmarkStart w:id="23" w:name="_Toc7490"/>
      <w:bookmarkStart w:id="24" w:name="_Toc97195092"/>
      <w:bookmarkStart w:id="25" w:name="_Toc10827"/>
      <w:bookmarkStart w:id="26" w:name="_Toc26718931"/>
      <w:bookmarkStart w:id="27" w:name="_Toc8381"/>
      <w:bookmarkStart w:id="28" w:name="_Toc26986772"/>
      <w:bookmarkStart w:id="29" w:name="_Toc26986531"/>
      <w:r>
        <w:rPr>
          <w:rFonts w:hint="eastAsia"/>
        </w:rPr>
        <w:t>规范性引用文件</w:t>
      </w:r>
      <w:bookmarkEnd w:id="18"/>
      <w:bookmarkEnd w:id="19"/>
      <w:bookmarkEnd w:id="20"/>
      <w:bookmarkEnd w:id="21"/>
      <w:bookmarkEnd w:id="22"/>
      <w:bookmarkEnd w:id="23"/>
      <w:bookmarkEnd w:id="24"/>
      <w:bookmarkEnd w:id="25"/>
      <w:bookmarkEnd w:id="26"/>
      <w:bookmarkEnd w:id="27"/>
      <w:bookmarkEnd w:id="28"/>
      <w:bookmarkEnd w:id="29"/>
    </w:p>
    <w:sdt>
      <w:sdtPr>
        <w:id w:val="147479123"/>
        <w:placeholder>
          <w:docPart w:val="{7be65522-be42-417e-a61a-794d4bc9e243}"/>
        </w:placeholder>
        <w:comboBox>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comboBox>
      </w:sdtPr>
      <w:sdtContent>
        <w:p w14:paraId="7E0196FE">
          <w:pPr>
            <w:pStyle w:val="63"/>
            <w:rPr>
              <w:rFonts w:hint="eastAsia"/>
              <w:lang w:val="en-US" w:eastAsia="zh-CN"/>
            </w:rPr>
          </w:pPr>
          <w: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E875E30">
      <w:pPr>
        <w:pStyle w:val="63"/>
        <w:rPr>
          <w:rFonts w:hint="default"/>
          <w:lang w:val="en-US" w:eastAsia="zh-CN"/>
        </w:rPr>
      </w:pPr>
      <w:r>
        <w:rPr>
          <w:rFonts w:hint="eastAsia"/>
          <w:lang w:val="en-US" w:eastAsia="zh-CN"/>
        </w:rPr>
        <w:t>GB/T 191  包装储运图形符号标志</w:t>
      </w:r>
    </w:p>
    <w:p w14:paraId="1CB353AE">
      <w:pPr>
        <w:pStyle w:val="63"/>
        <w:rPr>
          <w:rFonts w:hint="default"/>
          <w:lang w:val="en-US" w:eastAsia="zh-CN"/>
        </w:rPr>
      </w:pPr>
      <w:r>
        <w:rPr>
          <w:rFonts w:hint="eastAsia"/>
          <w:lang w:val="en-US" w:eastAsia="zh-CN"/>
        </w:rPr>
        <w:t>GB/T 2828.1  计数抽样检验程序 第1部分：按接收质量限（AQL）检索的逐批检验抽样计划</w:t>
      </w:r>
    </w:p>
    <w:p w14:paraId="100FAB59">
      <w:pPr>
        <w:pStyle w:val="63"/>
        <w:rPr>
          <w:rFonts w:hint="default"/>
          <w:lang w:val="en-US" w:eastAsia="zh-CN"/>
        </w:rPr>
      </w:pPr>
      <w:r>
        <w:rPr>
          <w:rFonts w:hint="eastAsia"/>
          <w:lang w:val="en-US" w:eastAsia="zh-CN"/>
        </w:rPr>
        <w:t>GB 6095  坠落防护 安全带</w:t>
      </w:r>
    </w:p>
    <w:p w14:paraId="072DF3D1">
      <w:pPr>
        <w:pStyle w:val="63"/>
        <w:rPr>
          <w:rFonts w:hint="default"/>
          <w:lang w:val="en-US" w:eastAsia="zh-CN"/>
        </w:rPr>
      </w:pPr>
      <w:r>
        <w:rPr>
          <w:rFonts w:hint="eastAsia"/>
          <w:lang w:val="en-US" w:eastAsia="zh-CN"/>
        </w:rPr>
        <w:t>GB/T 6096  坠落防护 安全带系统性能测试方法</w:t>
      </w:r>
    </w:p>
    <w:p w14:paraId="70AEF692">
      <w:pPr>
        <w:pStyle w:val="63"/>
        <w:rPr>
          <w:rFonts w:hint="default"/>
          <w:lang w:val="en-US" w:eastAsia="zh-CN"/>
        </w:rPr>
      </w:pPr>
      <w:r>
        <w:rPr>
          <w:rFonts w:hint="eastAsia"/>
          <w:lang w:val="en-US" w:eastAsia="zh-CN"/>
        </w:rPr>
        <w:t>GB/T 10125  人造气氛腐蚀试验 盐雾试验</w:t>
      </w:r>
    </w:p>
    <w:p w14:paraId="6959098F">
      <w:pPr>
        <w:pStyle w:val="63"/>
        <w:rPr>
          <w:rFonts w:hint="default"/>
          <w:lang w:val="en-US" w:eastAsia="zh-CN"/>
        </w:rPr>
      </w:pPr>
      <w:r>
        <w:rPr>
          <w:rFonts w:hint="eastAsia"/>
          <w:lang w:val="en-US" w:eastAsia="zh-CN"/>
        </w:rPr>
        <w:t>GB 12014  防护服装　防静电服</w:t>
      </w:r>
    </w:p>
    <w:p w14:paraId="67F380E6">
      <w:pPr>
        <w:pStyle w:val="63"/>
        <w:rPr>
          <w:rFonts w:hint="default"/>
          <w:lang w:val="en-US" w:eastAsia="zh-CN"/>
        </w:rPr>
      </w:pPr>
      <w:r>
        <w:rPr>
          <w:rFonts w:hint="eastAsia"/>
          <w:lang w:val="en-US" w:eastAsia="zh-CN"/>
        </w:rPr>
        <w:t>GB/T 24343  工业机械电气设备 绝缘电阻试验规范</w:t>
      </w:r>
    </w:p>
    <w:p w14:paraId="68ED6EE1">
      <w:pPr>
        <w:pStyle w:val="63"/>
        <w:rPr>
          <w:rFonts w:hint="default"/>
          <w:lang w:val="en-US" w:eastAsia="zh-CN"/>
        </w:rPr>
      </w:pPr>
      <w:r>
        <w:rPr>
          <w:rFonts w:hint="eastAsia"/>
          <w:lang w:val="en-US" w:eastAsia="zh-CN"/>
        </w:rPr>
        <w:t>GB/T 24344  工业机械电气设备 耐压试验规范</w:t>
      </w:r>
    </w:p>
    <w:p w14:paraId="70FA6422">
      <w:pPr>
        <w:pStyle w:val="63"/>
        <w:rPr>
          <w:rFonts w:hint="default"/>
          <w:lang w:val="en-US" w:eastAsia="zh-CN"/>
        </w:rPr>
      </w:pPr>
      <w:r>
        <w:rPr>
          <w:rFonts w:hint="eastAsia"/>
          <w:lang w:val="en-US" w:eastAsia="zh-CN"/>
        </w:rPr>
        <w:t>GB 24539  防护服装 化学防护服</w:t>
      </w:r>
    </w:p>
    <w:p w14:paraId="550A91F1">
      <w:pPr>
        <w:pStyle w:val="63"/>
        <w:rPr>
          <w:rFonts w:hint="eastAsia"/>
          <w:lang w:val="en-US" w:eastAsia="zh-CN"/>
        </w:rPr>
      </w:pPr>
      <w:r>
        <w:rPr>
          <w:rFonts w:hint="eastAsia"/>
          <w:lang w:val="en-US" w:eastAsia="zh-CN"/>
        </w:rPr>
        <w:t>DL/T 1147  电力高处作业防坠器</w:t>
      </w:r>
    </w:p>
    <w:p w14:paraId="7E0F02AA">
      <w:pPr>
        <w:pStyle w:val="111"/>
        <w:spacing w:before="240" w:after="240"/>
      </w:pPr>
      <w:bookmarkStart w:id="30" w:name="_Toc21736"/>
      <w:bookmarkStart w:id="31" w:name="_Toc97195093"/>
      <w:bookmarkStart w:id="32" w:name="_Toc11143"/>
      <w:bookmarkStart w:id="33" w:name="_Toc24572"/>
      <w:r>
        <w:rPr>
          <w:rFonts w:hint="eastAsia"/>
          <w:szCs w:val="21"/>
        </w:rPr>
        <w:t>术语和定义</w:t>
      </w:r>
      <w:bookmarkEnd w:id="30"/>
      <w:bookmarkEnd w:id="31"/>
      <w:bookmarkEnd w:id="32"/>
      <w:bookmarkEnd w:id="33"/>
    </w:p>
    <w:bookmarkEnd w:id="2"/>
    <w:p w14:paraId="3A3BF7ED">
      <w:pPr>
        <w:pStyle w:val="63"/>
      </w:pPr>
      <w:bookmarkStart w:id="34" w:name="_Toc26986532"/>
      <w:bookmarkEnd w:id="34"/>
      <w:r>
        <w:rPr>
          <w:rFonts w:hint="eastAsia"/>
        </w:rPr>
        <w:t>GB 6095、DL/T 1147</w:t>
      </w:r>
      <w:r>
        <w:rPr>
          <w:rFonts w:hint="eastAsia"/>
          <w:lang w:val="en-US" w:eastAsia="zh-CN"/>
        </w:rPr>
        <w:t>界定的以及</w:t>
      </w:r>
      <w:sdt>
        <w:sdtPr>
          <w:rPr>
            <w:rFonts w:hint="eastAsia"/>
          </w:rPr>
          <w:id w:val="-1909835108"/>
          <w:placeholder>
            <w:docPart w:val="8B8623DBB2C24B3899CB0B000E5C5DB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t>下列术语和定义适用于本文件。</w:t>
          </w:r>
        </w:sdtContent>
      </w:sdt>
    </w:p>
    <w:p w14:paraId="4B6D3D92">
      <w:pPr>
        <w:pStyle w:val="112"/>
        <w:spacing w:before="120" w:after="120"/>
      </w:pPr>
      <w:bookmarkStart w:id="35" w:name="_Toc25412"/>
      <w:bookmarkEnd w:id="35"/>
      <w:bookmarkStart w:id="36" w:name="_Toc25027"/>
      <w:bookmarkEnd w:id="36"/>
      <w:bookmarkStart w:id="37" w:name="_Toc11047"/>
      <w:bookmarkEnd w:id="37"/>
      <w:bookmarkStart w:id="38" w:name="_Toc5316"/>
      <w:bookmarkEnd w:id="38"/>
      <w:bookmarkStart w:id="39" w:name="_Toc1908"/>
      <w:bookmarkEnd w:id="39"/>
      <w:bookmarkStart w:id="40" w:name="_Toc13410"/>
      <w:bookmarkEnd w:id="40"/>
      <w:bookmarkStart w:id="41" w:name="_Toc7674"/>
      <w:bookmarkEnd w:id="41"/>
      <w:bookmarkStart w:id="42" w:name="_Toc9949"/>
      <w:bookmarkEnd w:id="42"/>
      <w:bookmarkStart w:id="43" w:name="_Toc18471"/>
      <w:bookmarkEnd w:id="43"/>
      <w:bookmarkStart w:id="44" w:name="_Toc11728"/>
      <w:bookmarkEnd w:id="44"/>
      <w:bookmarkStart w:id="45" w:name="_Toc31639"/>
      <w:bookmarkEnd w:id="45"/>
      <w:bookmarkStart w:id="46" w:name="_Toc18481"/>
      <w:bookmarkEnd w:id="46"/>
    </w:p>
    <w:p w14:paraId="38DFE66D">
      <w:pPr>
        <w:pStyle w:val="230"/>
        <w:keepNext w:val="0"/>
        <w:keepLines w:val="0"/>
        <w:pageBreakBefore w:val="0"/>
        <w:widowControl/>
        <w:numPr>
          <w:ilvl w:val="2"/>
          <w:numId w:val="0"/>
        </w:numPr>
        <w:kinsoku/>
        <w:wordWrap/>
        <w:overflowPunct/>
        <w:topLinePunct w:val="0"/>
        <w:autoSpaceDE/>
        <w:autoSpaceDN/>
        <w:bidi w:val="0"/>
        <w:adjustRightInd/>
        <w:snapToGrid/>
        <w:spacing w:before="157" w:beforeLines="50" w:after="157" w:afterLines="50"/>
        <w:ind w:firstLine="420" w:firstLineChars="200"/>
        <w:textAlignment w:val="auto"/>
        <w:rPr>
          <w:rFonts w:hint="default" w:ascii="Times New Roman" w:hAnsi="Times New Roman" w:cs="Times New Roman"/>
        </w:rPr>
      </w:pPr>
      <w:r>
        <w:rPr>
          <w:rFonts w:hint="eastAsia"/>
          <w:lang w:eastAsia="zh-CN"/>
        </w:rPr>
        <w:t>电力安全带</w:t>
      </w:r>
      <w:r>
        <w:rPr>
          <w:rFonts w:hint="default" w:ascii="Times New Roman" w:hAnsi="Times New Roman" w:cs="Times New Roman"/>
        </w:rPr>
        <w:t xml:space="preserve"> electric safety belt</w:t>
      </w:r>
    </w:p>
    <w:p w14:paraId="5814A5D1">
      <w:pPr>
        <w:pStyle w:val="63"/>
        <w:rPr>
          <w:rFonts w:hint="eastAsia"/>
        </w:rPr>
      </w:pPr>
      <w:r>
        <w:rPr>
          <w:rFonts w:hint="eastAsia"/>
        </w:rPr>
        <w:t>适配电力杆塔、输电线路、变电站高空作业，具备耐紫外线、耐机油、耐轻微电弧灼烧、围杆缠绕防滑结构的个人坠落防护系带总成，包含织带、金属连接器、带扣、缓冲器、围杆带、护腰带、调节滑块全套组件。</w:t>
      </w:r>
    </w:p>
    <w:p w14:paraId="21C00BE5">
      <w:pPr>
        <w:pStyle w:val="111"/>
        <w:spacing w:before="240" w:after="240"/>
        <w:rPr>
          <w:szCs w:val="21"/>
        </w:rPr>
      </w:pPr>
      <w:bookmarkStart w:id="47" w:name="_Toc23150"/>
      <w:bookmarkEnd w:id="47"/>
      <w:bookmarkStart w:id="48" w:name="_Toc17938"/>
      <w:bookmarkEnd w:id="48"/>
      <w:bookmarkStart w:id="49" w:name="_Toc23283"/>
      <w:bookmarkEnd w:id="49"/>
      <w:bookmarkStart w:id="50" w:name="_Toc18321"/>
      <w:bookmarkEnd w:id="50"/>
      <w:bookmarkStart w:id="51" w:name="_Toc18262"/>
      <w:bookmarkEnd w:id="51"/>
      <w:bookmarkStart w:id="52" w:name="_Toc14826"/>
      <w:bookmarkEnd w:id="52"/>
      <w:bookmarkStart w:id="53" w:name="_Toc1854"/>
      <w:bookmarkEnd w:id="53"/>
      <w:bookmarkStart w:id="54" w:name="_Toc23660"/>
      <w:bookmarkEnd w:id="54"/>
      <w:bookmarkStart w:id="55" w:name="_Toc16545"/>
      <w:bookmarkEnd w:id="55"/>
      <w:bookmarkStart w:id="56" w:name="_Toc15874"/>
      <w:bookmarkEnd w:id="56"/>
      <w:bookmarkStart w:id="57" w:name="_Toc28532"/>
      <w:bookmarkEnd w:id="57"/>
      <w:bookmarkStart w:id="58" w:name="_Toc30783"/>
      <w:bookmarkEnd w:id="58"/>
      <w:bookmarkStart w:id="59" w:name="_Toc15835"/>
      <w:bookmarkEnd w:id="59"/>
      <w:bookmarkStart w:id="60" w:name="_Toc11308"/>
      <w:bookmarkEnd w:id="60"/>
      <w:bookmarkStart w:id="61" w:name="_Toc10025"/>
      <w:bookmarkEnd w:id="61"/>
      <w:bookmarkStart w:id="62" w:name="_Toc15067"/>
      <w:bookmarkEnd w:id="62"/>
      <w:bookmarkStart w:id="63" w:name="_Toc12688"/>
      <w:bookmarkEnd w:id="63"/>
      <w:bookmarkStart w:id="64" w:name="_Toc17148"/>
      <w:r>
        <w:rPr>
          <w:rFonts w:hint="eastAsia"/>
          <w:szCs w:val="21"/>
          <w:lang w:val="en-US" w:eastAsia="zh-CN"/>
        </w:rPr>
        <w:t>分类与标记</w:t>
      </w:r>
      <w:bookmarkEnd w:id="64"/>
    </w:p>
    <w:p w14:paraId="5F951294">
      <w:pPr>
        <w:pStyle w:val="112"/>
        <w:spacing w:before="120" w:after="120"/>
      </w:pPr>
      <w:bookmarkStart w:id="65" w:name="_Toc625"/>
      <w:r>
        <w:rPr>
          <w:rFonts w:hint="eastAsia"/>
        </w:rPr>
        <w:t>产品分类</w:t>
      </w:r>
      <w:bookmarkEnd w:id="65"/>
    </w:p>
    <w:p w14:paraId="5D25287D">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4.1.1 根据电力作业场景、防护功能及结构形式，将电力安全带分为三类，具体分类及适用场景见表1。</w:t>
      </w:r>
    </w:p>
    <w:p w14:paraId="073FF832">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eastAsia" w:ascii="黑体" w:hAnsi="黑体" w:eastAsia="黑体" w:cs="黑体"/>
          <w:lang w:val="en-US" w:eastAsia="zh-CN"/>
        </w:rPr>
      </w:pPr>
      <w:r>
        <w:rPr>
          <w:rFonts w:hint="eastAsia" w:ascii="黑体" w:hAnsi="黑体" w:eastAsia="黑体" w:cs="黑体"/>
          <w:lang w:val="en-US" w:eastAsia="zh-CN"/>
        </w:rPr>
        <w:t>表1 电力安全带分类</w:t>
      </w:r>
    </w:p>
    <w:tbl>
      <w:tblPr>
        <w:tblStyle w:val="33"/>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1105"/>
        <w:gridCol w:w="3016"/>
        <w:gridCol w:w="4237"/>
      </w:tblGrid>
      <w:tr w14:paraId="71AB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0" w:type="pct"/>
            <w:vAlign w:val="center"/>
          </w:tcPr>
          <w:p w14:paraId="10A35038">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类别代号</w:t>
            </w:r>
          </w:p>
        </w:tc>
        <w:tc>
          <w:tcPr>
            <w:tcW w:w="592" w:type="pct"/>
            <w:vAlign w:val="center"/>
          </w:tcPr>
          <w:p w14:paraId="2867AF99">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产品类型</w:t>
            </w:r>
          </w:p>
        </w:tc>
        <w:tc>
          <w:tcPr>
            <w:tcW w:w="1616" w:type="pct"/>
            <w:vAlign w:val="center"/>
          </w:tcPr>
          <w:p w14:paraId="1DC19F65">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结构形式</w:t>
            </w:r>
          </w:p>
        </w:tc>
        <w:tc>
          <w:tcPr>
            <w:tcW w:w="2270" w:type="pct"/>
            <w:vAlign w:val="center"/>
          </w:tcPr>
          <w:p w14:paraId="4380F978">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适用电力作业场景</w:t>
            </w:r>
          </w:p>
        </w:tc>
      </w:tr>
      <w:tr w14:paraId="0B62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0" w:type="pct"/>
            <w:vAlign w:val="center"/>
          </w:tcPr>
          <w:p w14:paraId="60A24FEF">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DL-Q</w:t>
            </w:r>
          </w:p>
        </w:tc>
        <w:tc>
          <w:tcPr>
            <w:tcW w:w="592" w:type="pct"/>
            <w:vAlign w:val="center"/>
          </w:tcPr>
          <w:p w14:paraId="20A1E180">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区域限制电力安全带</w:t>
            </w:r>
          </w:p>
        </w:tc>
        <w:tc>
          <w:tcPr>
            <w:tcW w:w="1616" w:type="pct"/>
            <w:vAlign w:val="center"/>
          </w:tcPr>
          <w:p w14:paraId="51D3F9D0">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单腰式/半身式，配备固定安全绳、限位连接器</w:t>
            </w:r>
          </w:p>
        </w:tc>
        <w:tc>
          <w:tcPr>
            <w:tcW w:w="2270" w:type="pct"/>
            <w:vAlign w:val="center"/>
          </w:tcPr>
          <w:p w14:paraId="4E540569">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变电站平台作业、配电房高空固定点位作业，限制人员作业范围，杜绝坠落风险</w:t>
            </w:r>
          </w:p>
        </w:tc>
      </w:tr>
      <w:tr w14:paraId="71F1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0" w:type="pct"/>
            <w:vAlign w:val="center"/>
          </w:tcPr>
          <w:p w14:paraId="11F0CB48">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DL-W</w:t>
            </w:r>
          </w:p>
        </w:tc>
        <w:tc>
          <w:tcPr>
            <w:tcW w:w="592" w:type="pct"/>
            <w:vAlign w:val="center"/>
          </w:tcPr>
          <w:p w14:paraId="2D7CC4DD">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围杆作业电力安全带</w:t>
            </w:r>
          </w:p>
        </w:tc>
        <w:tc>
          <w:tcPr>
            <w:tcW w:w="1616" w:type="pct"/>
            <w:vAlign w:val="center"/>
          </w:tcPr>
          <w:p w14:paraId="00051502">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单腰双保险结构，配备环形围杆绳、双挂点</w:t>
            </w:r>
          </w:p>
        </w:tc>
        <w:tc>
          <w:tcPr>
            <w:tcW w:w="2270" w:type="pct"/>
            <w:vAlign w:val="center"/>
          </w:tcPr>
          <w:p w14:paraId="55ED5C4E">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输电杆塔攀爬、电杆检修、架空线路地面以上低位作业</w:t>
            </w:r>
          </w:p>
        </w:tc>
      </w:tr>
      <w:tr w14:paraId="19C2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0" w:type="pct"/>
            <w:vAlign w:val="center"/>
          </w:tcPr>
          <w:p w14:paraId="2CA3AAF0">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DL-Z</w:t>
            </w:r>
          </w:p>
        </w:tc>
        <w:tc>
          <w:tcPr>
            <w:tcW w:w="592" w:type="pct"/>
            <w:vAlign w:val="center"/>
          </w:tcPr>
          <w:p w14:paraId="64BBDC69">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坠落悬挂电力安全带</w:t>
            </w:r>
          </w:p>
        </w:tc>
        <w:tc>
          <w:tcPr>
            <w:tcW w:w="1616" w:type="pct"/>
            <w:vAlign w:val="center"/>
          </w:tcPr>
          <w:p w14:paraId="7996613D">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全身式结构，配备缓冲器、速差自控器、多组承重挂点</w:t>
            </w:r>
          </w:p>
        </w:tc>
        <w:tc>
          <w:tcPr>
            <w:tcW w:w="2270" w:type="pct"/>
            <w:vAlign w:val="center"/>
          </w:tcPr>
          <w:p w14:paraId="3276D369">
            <w:pPr>
              <w:pStyle w:val="6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sz w:val="18"/>
                <w:szCs w:val="18"/>
              </w:rPr>
            </w:pPr>
            <w:r>
              <w:rPr>
                <w:rFonts w:hint="eastAsia"/>
                <w:sz w:val="18"/>
                <w:szCs w:val="18"/>
                <w:lang w:val="en-US" w:eastAsia="zh-CN"/>
              </w:rPr>
              <w:t>高压输电高空作业、跨江线路检修、无固定限位高空悬吊作业</w:t>
            </w:r>
          </w:p>
        </w:tc>
      </w:tr>
    </w:tbl>
    <w:p w14:paraId="697175EA">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ascii="宋体" w:hAnsi="Times New Roman" w:eastAsia="宋体" w:cs="Times New Roman"/>
          <w:lang w:val="en-US" w:eastAsia="zh-CN"/>
        </w:rPr>
      </w:pPr>
      <w:bookmarkStart w:id="66" w:name="_Toc5711"/>
      <w:r>
        <w:rPr>
          <w:rFonts w:hint="eastAsia" w:ascii="宋体" w:hAnsi="Times New Roman" w:eastAsia="宋体" w:cs="Times New Roman"/>
          <w:lang w:val="en-US" w:eastAsia="zh-CN"/>
        </w:rPr>
        <w:t>4.1.2 根据附加功能可分为：普通型、绝缘型（J）、防静电型（E）、阻燃型（F）、耐低温型（D）。</w:t>
      </w:r>
    </w:p>
    <w:p w14:paraId="4600F7CE">
      <w:pPr>
        <w:pStyle w:val="112"/>
        <w:spacing w:before="120" w:after="120"/>
        <w:ind w:left="0" w:firstLine="0"/>
      </w:pPr>
      <w:r>
        <w:rPr>
          <w:rFonts w:hint="eastAsia"/>
        </w:rPr>
        <w:t>产品标记</w:t>
      </w:r>
      <w:bookmarkEnd w:id="66"/>
    </w:p>
    <w:p w14:paraId="7F1AAFCB">
      <w:pPr>
        <w:pStyle w:val="63"/>
        <w:ind w:left="0" w:leftChars="0" w:firstLine="0" w:firstLineChars="0"/>
        <w:rPr>
          <w:rFonts w:hint="default" w:eastAsia="宋体"/>
          <w:lang w:val="en-US" w:eastAsia="zh-CN"/>
        </w:rPr>
      </w:pPr>
      <w:r>
        <w:rPr>
          <w:rFonts w:hint="eastAsia"/>
          <w:lang w:val="en-US" w:eastAsia="zh-CN"/>
        </w:rPr>
        <w:t>4.2.1 标记规则</w:t>
      </w:r>
    </w:p>
    <w:p w14:paraId="7638632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eastAsia="宋体"/>
          <w:lang w:eastAsia="zh-CN"/>
        </w:rPr>
      </w:pPr>
      <w:r>
        <w:rPr>
          <w:rFonts w:hint="eastAsia"/>
        </w:rPr>
        <w:t>产品标记由电力专用代号、作业类型、附加功能、规格参数、执行标准号组成，标记规则如下：DL-作业类型-附加功能-带宽-绳长-本标准号</w:t>
      </w:r>
      <w:r>
        <w:rPr>
          <w:rFonts w:hint="eastAsia"/>
          <w:lang w:eastAsia="zh-CN"/>
        </w:rPr>
        <w:t>。</w:t>
      </w:r>
    </w:p>
    <w:p w14:paraId="2904BA39">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default"/>
          <w:lang w:val="en-US" w:eastAsia="zh-CN"/>
        </w:rPr>
      </w:pPr>
      <w:r>
        <w:rPr>
          <w:rFonts w:hint="eastAsia"/>
          <w:lang w:val="en-US" w:eastAsia="zh-CN"/>
        </w:rPr>
        <w:t>4.2.2 标记示例</w:t>
      </w:r>
    </w:p>
    <w:p w14:paraId="7493EB7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eastAsia="宋体"/>
          <w:lang w:eastAsia="zh-CN"/>
        </w:rPr>
      </w:pPr>
      <w:r>
        <w:rPr>
          <w:rFonts w:hint="eastAsia"/>
          <w:lang w:eastAsia="zh-CN"/>
        </w:rPr>
        <w:t>DL-W-J-40-2.0-T/XXX表示：电力围杆作业绝缘型安全带，主带宽40mm，安全绳长度2.0m，执行本团体标准。</w:t>
      </w:r>
    </w:p>
    <w:p w14:paraId="03702A97">
      <w:pPr>
        <w:pStyle w:val="111"/>
        <w:spacing w:before="240" w:after="240"/>
        <w:rPr>
          <w:szCs w:val="21"/>
        </w:rPr>
      </w:pPr>
      <w:bookmarkStart w:id="67" w:name="_Toc2799"/>
      <w:bookmarkStart w:id="68" w:name="_Toc14876"/>
      <w:r>
        <w:rPr>
          <w:rFonts w:hint="eastAsia"/>
          <w:szCs w:val="21"/>
          <w:lang w:val="en-US" w:eastAsia="zh-CN"/>
        </w:rPr>
        <w:t>基本要求</w:t>
      </w:r>
      <w:bookmarkEnd w:id="67"/>
    </w:p>
    <w:p w14:paraId="19598F16">
      <w:pPr>
        <w:pStyle w:val="112"/>
        <w:spacing w:before="120" w:after="120"/>
        <w:ind w:left="0" w:firstLine="0"/>
        <w:rPr>
          <w:lang w:val="en-US" w:eastAsia="zh-CN"/>
        </w:rPr>
      </w:pPr>
      <w:bookmarkStart w:id="69" w:name="_Toc26517"/>
      <w:r>
        <w:rPr>
          <w:rFonts w:hint="eastAsia"/>
          <w:lang w:val="en-US" w:eastAsia="zh-CN"/>
        </w:rPr>
        <w:t>原材料要求</w:t>
      </w:r>
      <w:bookmarkEnd w:id="69"/>
    </w:p>
    <w:p w14:paraId="4AD56593">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5.1.1 织带原材料</w:t>
      </w:r>
    </w:p>
    <w:p w14:paraId="6D1CF5E9">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织带原材料要求如下：</w:t>
      </w:r>
    </w:p>
    <w:p w14:paraId="015EE67D">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a）应采用全新高强度聚酯工业长丝制成，不应使用再生纤维、混杂纤维及不合格回收料，材质理化性能稳定，适配电力户外、近电、温变、腐蚀作业环境；</w:t>
      </w:r>
    </w:p>
    <w:p w14:paraId="2581CE84">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b）织带纤维应满足GB 6095的要求，绝缘型织带应添加专用绝缘、阻燃助剂，基材不应存在导电杂质。</w:t>
      </w:r>
    </w:p>
    <w:p w14:paraId="5488001A">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5.1.2 缝合线材</w:t>
      </w:r>
    </w:p>
    <w:p w14:paraId="2A8A5D38">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缝合线材应与织带基材同质匹配，采用高强度涤纶复丝线，材质耐老化、耐腐蚀、抗脆化，长期使用不易断线、松脱，线体颜色与织带应形成明显色差。</w:t>
      </w:r>
    </w:p>
    <w:p w14:paraId="397EDEDA">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5.1.3 非金属辅材</w:t>
      </w:r>
    </w:p>
    <w:p w14:paraId="56DA943D">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default"/>
          <w:lang w:val="en-US" w:eastAsia="zh-CN"/>
        </w:rPr>
      </w:pPr>
      <w:r>
        <w:rPr>
          <w:rFonts w:hint="eastAsia"/>
          <w:lang w:val="en-US" w:eastAsia="zh-CN"/>
        </w:rPr>
        <w:t>安全绳、缓冲护套、防护垫层等非金属辅材应具备适配电力作业的基础耐磨、耐温、防潮特性，绝缘型产品外包材料应具备均匀绝缘介质属性，材质无开裂、脱落、粉化固有缺陷。</w:t>
      </w:r>
    </w:p>
    <w:p w14:paraId="724A90C8">
      <w:pPr>
        <w:pStyle w:val="112"/>
        <w:spacing w:before="120" w:after="120"/>
        <w:ind w:left="0" w:firstLine="0"/>
        <w:rPr>
          <w:rFonts w:hint="eastAsia"/>
          <w:lang w:val="en-US" w:eastAsia="zh-CN"/>
        </w:rPr>
      </w:pPr>
      <w:bookmarkStart w:id="70" w:name="_Toc133"/>
      <w:r>
        <w:rPr>
          <w:rFonts w:hint="eastAsia"/>
          <w:lang w:val="en-US" w:eastAsia="zh-CN"/>
        </w:rPr>
        <w:t>零部件要求</w:t>
      </w:r>
      <w:bookmarkEnd w:id="70"/>
    </w:p>
    <w:p w14:paraId="6E3A7A91">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5.2.1 金属零部件包含D型环、调节环、连接卡扣、自锁连接器等，应采用304不锈钢或航空铝合金材质，出厂状态无裂纹、变形、毛刺、锐边、虚焊、漏焊等缺陷。</w:t>
      </w:r>
    </w:p>
    <w:p w14:paraId="4A9D7175">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5.2.2 自锁连接器、调节扣等运动零部件结构应构型完整，锁止、开启、调节机构设计合理，出厂装配状态灵活顺畅，无卡滞、滑移、失效等固有结构性缺陷，双重自锁结构完整齐备。</w:t>
      </w:r>
    </w:p>
    <w:p w14:paraId="0D947C01">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5.2.3 缓冲部件、防护垫层等非金属零部件规格应匹配主体结构，装配牢固、贴合严密，无松动、错位、缺失等装配缺陷。</w:t>
      </w:r>
    </w:p>
    <w:p w14:paraId="06A3FDA8">
      <w:pPr>
        <w:pStyle w:val="112"/>
        <w:spacing w:before="120" w:after="120"/>
        <w:ind w:left="0" w:firstLine="0"/>
        <w:rPr>
          <w:rFonts w:hint="eastAsia"/>
          <w:lang w:val="en-US" w:eastAsia="zh-CN"/>
        </w:rPr>
      </w:pPr>
      <w:bookmarkStart w:id="71" w:name="_Toc19903"/>
      <w:r>
        <w:rPr>
          <w:rFonts w:hint="eastAsia"/>
          <w:lang w:val="en-US" w:eastAsia="zh-CN"/>
        </w:rPr>
        <w:t>结构与组成要求</w:t>
      </w:r>
      <w:bookmarkEnd w:id="71"/>
    </w:p>
    <w:p w14:paraId="405BB52E">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5.3.1 总体结构</w:t>
      </w:r>
    </w:p>
    <w:p w14:paraId="1E634436">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安全带整体结构构型应匹配区域限制、围杆作业、坠落悬挂三类作业模式，采用模块化整体设计，承重体系独立完整，无违规拼接、分段焊接等影响整体强度的结构设计；同一条承重织带两受力连接点之间不应设置接缝。</w:t>
      </w:r>
    </w:p>
    <w:p w14:paraId="6F4A090C">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5.3.2 分类结构要求</w:t>
      </w:r>
    </w:p>
    <w:p w14:paraId="12F2CFEE">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区域限制安全带应具备可靠限位结构，可有效限定作业活动范围；围杆作业安全带应配备电力专用双保险交替挂接结构；坠落悬挂全身式安全带应设置双肩、前胸、骨盆多位置承重结构，受力体系均衡稳定。</w:t>
      </w:r>
    </w:p>
    <w:p w14:paraId="6A51E593">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5.3.3 调节与贴合结构</w:t>
      </w:r>
    </w:p>
    <w:p w14:paraId="7A7C9A3C">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所有系带调节行程合理、锁止结构可靠，调节后可有效定位，无自主滑移；人体接触部位应设置缓冲垫层，结构设计应规避硬质挤压、局部应力集中问题，适配成人作业身形。</w:t>
      </w:r>
    </w:p>
    <w:p w14:paraId="39A671E3">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color w:val="auto"/>
          <w:lang w:val="en-US" w:eastAsia="zh-CN"/>
        </w:rPr>
      </w:pPr>
      <w:r>
        <w:rPr>
          <w:rFonts w:hint="eastAsia"/>
          <w:color w:val="auto"/>
          <w:lang w:val="en-US" w:eastAsia="zh-CN"/>
        </w:rPr>
        <w:t>5.3.4 尺寸结构</w:t>
      </w:r>
    </w:p>
    <w:p w14:paraId="62C19F12">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color w:val="auto"/>
          <w:lang w:val="en-US" w:eastAsia="zh-CN"/>
        </w:rPr>
      </w:pPr>
      <w:r>
        <w:rPr>
          <w:rFonts w:hint="eastAsia"/>
          <w:color w:val="auto"/>
          <w:lang w:val="en-US" w:eastAsia="zh-CN"/>
        </w:rPr>
        <w:t>核心部件尺寸、带宽、绳长、挂环内径、调节行程等参数应符合本标准规定的尺寸限值，制造公差控制在±1mm，结构尺寸适配电力杆塔、设备常规挂接点位。</w:t>
      </w:r>
    </w:p>
    <w:p w14:paraId="2E8D2985">
      <w:pPr>
        <w:pStyle w:val="111"/>
        <w:spacing w:before="240" w:after="240"/>
        <w:rPr>
          <w:rFonts w:hint="eastAsia"/>
          <w:szCs w:val="21"/>
          <w:lang w:val="en-US" w:eastAsia="zh-CN"/>
        </w:rPr>
      </w:pPr>
      <w:bookmarkStart w:id="72" w:name="_Toc28639"/>
      <w:r>
        <w:rPr>
          <w:rFonts w:hint="eastAsia"/>
          <w:szCs w:val="21"/>
          <w:lang w:val="en-US" w:eastAsia="zh-CN"/>
        </w:rPr>
        <w:t>技术要求</w:t>
      </w:r>
      <w:bookmarkEnd w:id="72"/>
    </w:p>
    <w:p w14:paraId="40A240BC">
      <w:pPr>
        <w:pStyle w:val="112"/>
        <w:spacing w:before="120" w:after="120"/>
        <w:ind w:left="0" w:firstLine="0"/>
        <w:rPr>
          <w:rFonts w:hint="eastAsia"/>
          <w:lang w:val="en-US" w:eastAsia="zh-CN"/>
        </w:rPr>
      </w:pPr>
      <w:bookmarkStart w:id="73" w:name="_Toc13896"/>
      <w:r>
        <w:rPr>
          <w:rFonts w:hint="eastAsia"/>
          <w:lang w:val="en-US" w:eastAsia="zh-CN"/>
        </w:rPr>
        <w:t>静态力学性能</w:t>
      </w:r>
      <w:bookmarkEnd w:id="73"/>
    </w:p>
    <w:p w14:paraId="55444C4F">
      <w:pPr>
        <w:pStyle w:val="63"/>
        <w:ind w:left="0" w:leftChars="0" w:firstLine="0" w:firstLineChars="0"/>
        <w:rPr>
          <w:rFonts w:hint="eastAsia"/>
          <w:lang w:val="en-US" w:eastAsia="zh-CN"/>
        </w:rPr>
      </w:pPr>
      <w:r>
        <w:rPr>
          <w:rFonts w:hint="eastAsia"/>
          <w:lang w:val="en-US" w:eastAsia="zh-CN"/>
        </w:rPr>
        <w:t>6.1.1 织带力学性能</w:t>
      </w:r>
    </w:p>
    <w:p w14:paraId="6BA76DDE">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主带断裂强力不小于25kN，辅带断裂强力不小于12kN；经标准光照老化预处理后，织带强度下降率不应大于30%。</w:t>
      </w:r>
    </w:p>
    <w:p w14:paraId="429240B1">
      <w:pPr>
        <w:pStyle w:val="63"/>
        <w:ind w:left="0" w:leftChars="0" w:firstLine="0" w:firstLineChars="0"/>
        <w:rPr>
          <w:rFonts w:hint="eastAsia"/>
          <w:lang w:val="en-US" w:eastAsia="zh-CN"/>
        </w:rPr>
      </w:pPr>
      <w:r>
        <w:rPr>
          <w:rFonts w:hint="eastAsia"/>
          <w:lang w:val="en-US" w:eastAsia="zh-CN"/>
        </w:rPr>
        <w:t>6.1.2 整体静态负荷性能</w:t>
      </w:r>
    </w:p>
    <w:p w14:paraId="6D9D4DFD">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区域限制安全带承受2.2kN额定静载荷，围杆作业及坠落悬挂安全带承受15kN额定静载荷，持续保载5min后，带扣应无松脱、连接器无自行开启、零部件无变形及断裂，织带在调节结构内滑移量不大于25mm，整体承重结构无永久变形、无失效现象。</w:t>
      </w:r>
    </w:p>
    <w:p w14:paraId="3142D5F1">
      <w:pPr>
        <w:pStyle w:val="112"/>
        <w:spacing w:before="120" w:after="120"/>
        <w:ind w:left="0" w:firstLine="0"/>
        <w:rPr>
          <w:rFonts w:hint="eastAsia"/>
          <w:lang w:val="en-US" w:eastAsia="zh-CN"/>
        </w:rPr>
      </w:pPr>
      <w:bookmarkStart w:id="74" w:name="_Toc15903"/>
      <w:r>
        <w:rPr>
          <w:rFonts w:hint="eastAsia"/>
          <w:lang w:val="en-US" w:eastAsia="zh-CN"/>
        </w:rPr>
        <w:t>动态冲击坠落性能</w:t>
      </w:r>
      <w:bookmarkEnd w:id="74"/>
    </w:p>
    <w:p w14:paraId="37DCEC7F">
      <w:pPr>
        <w:pStyle w:val="63"/>
        <w:rPr>
          <w:rFonts w:hint="eastAsia"/>
          <w:lang w:val="en-US" w:eastAsia="zh-CN"/>
        </w:rPr>
      </w:pPr>
      <w:r>
        <w:rPr>
          <w:rFonts w:hint="eastAsia"/>
          <w:lang w:val="en-US" w:eastAsia="zh-CN"/>
        </w:rPr>
        <w:t>电力安全带经GB/T 6096规定的自由坠落试验后，各项指标应满足以下要求：</w:t>
      </w:r>
    </w:p>
    <w:p w14:paraId="5731D249">
      <w:pPr>
        <w:pStyle w:val="63"/>
        <w:rPr>
          <w:rFonts w:hint="eastAsia"/>
          <w:lang w:val="en-US" w:eastAsia="zh-CN"/>
        </w:rPr>
      </w:pPr>
      <w:r>
        <w:rPr>
          <w:rFonts w:hint="eastAsia"/>
          <w:lang w:val="en-US" w:eastAsia="zh-CN"/>
        </w:rPr>
        <w:t>a）最大冲击作用力峰值不应大于6kN；</w:t>
      </w:r>
    </w:p>
    <w:p w14:paraId="630A1067">
      <w:pPr>
        <w:pStyle w:val="63"/>
        <w:rPr>
          <w:rFonts w:hint="eastAsia"/>
          <w:lang w:val="en-US" w:eastAsia="zh-CN"/>
        </w:rPr>
      </w:pPr>
      <w:r>
        <w:rPr>
          <w:rFonts w:hint="eastAsia"/>
          <w:lang w:val="en-US" w:eastAsia="zh-CN"/>
        </w:rPr>
        <w:t>b）模拟人体无坠落、滑脱，悬吊姿态稳定，纵轴与垂直面夹角不大于50°；</w:t>
      </w:r>
    </w:p>
    <w:p w14:paraId="1BF46C9C">
      <w:pPr>
        <w:pStyle w:val="63"/>
        <w:rPr>
          <w:rFonts w:hint="eastAsia"/>
          <w:lang w:val="en-US" w:eastAsia="zh-CN"/>
        </w:rPr>
      </w:pPr>
      <w:r>
        <w:rPr>
          <w:rFonts w:hint="eastAsia"/>
          <w:lang w:val="en-US" w:eastAsia="zh-CN"/>
        </w:rPr>
        <w:t>c）织带无断裂、无明显不对称变形，织带滑移量不大于25mm；</w:t>
      </w:r>
    </w:p>
    <w:p w14:paraId="26582656">
      <w:pPr>
        <w:pStyle w:val="63"/>
        <w:rPr>
          <w:rFonts w:hint="eastAsia"/>
          <w:lang w:val="en-US" w:eastAsia="zh-CN"/>
        </w:rPr>
      </w:pPr>
      <w:r>
        <w:rPr>
          <w:rFonts w:hint="eastAsia"/>
          <w:lang w:val="en-US" w:eastAsia="zh-CN"/>
        </w:rPr>
        <w:t>d）坠落悬挂型安全带不应出现头部朝下悬吊现象，坠落指示功能应可正常触发。</w:t>
      </w:r>
    </w:p>
    <w:p w14:paraId="043E1EB4">
      <w:pPr>
        <w:pStyle w:val="112"/>
        <w:spacing w:before="120" w:after="120"/>
        <w:ind w:left="0" w:firstLine="0"/>
        <w:rPr>
          <w:rFonts w:hint="eastAsia"/>
          <w:lang w:val="en-US" w:eastAsia="zh-CN"/>
        </w:rPr>
      </w:pPr>
      <w:bookmarkStart w:id="75" w:name="_Toc12561"/>
      <w:r>
        <w:rPr>
          <w:rFonts w:hint="eastAsia"/>
          <w:lang w:val="en-US" w:eastAsia="zh-CN"/>
        </w:rPr>
        <w:t>电气安全性能</w:t>
      </w:r>
      <w:bookmarkEnd w:id="75"/>
    </w:p>
    <w:p w14:paraId="5FC8535B">
      <w:pPr>
        <w:pStyle w:val="63"/>
        <w:ind w:left="0" w:leftChars="0" w:firstLine="0" w:firstLineChars="0"/>
        <w:rPr>
          <w:rFonts w:hint="eastAsia"/>
          <w:lang w:val="en-US" w:eastAsia="zh-CN"/>
        </w:rPr>
      </w:pPr>
      <w:r>
        <w:rPr>
          <w:rFonts w:hint="eastAsia"/>
          <w:lang w:val="en-US" w:eastAsia="zh-CN"/>
        </w:rPr>
        <w:t>6.3.1 绝缘型安全带应适配10kV及以下近电、带电作业使用场景。</w:t>
      </w:r>
    </w:p>
    <w:p w14:paraId="4B7F6125">
      <w:pPr>
        <w:pStyle w:val="63"/>
        <w:ind w:left="0" w:leftChars="0" w:firstLine="0" w:firstLineChars="0"/>
        <w:rPr>
          <w:rFonts w:hint="eastAsia"/>
          <w:lang w:val="en-US" w:eastAsia="zh-CN"/>
        </w:rPr>
      </w:pPr>
      <w:r>
        <w:rPr>
          <w:rFonts w:hint="eastAsia"/>
          <w:lang w:val="en-US" w:eastAsia="zh-CN"/>
        </w:rPr>
        <w:t>6.3.2 绝缘型安全带整体绝缘电阻应不小于100MΩ。</w:t>
      </w:r>
    </w:p>
    <w:p w14:paraId="117F0D66">
      <w:pPr>
        <w:pStyle w:val="63"/>
        <w:ind w:left="0" w:leftChars="0" w:firstLine="0" w:firstLineChars="0"/>
        <w:rPr>
          <w:rFonts w:hint="eastAsia"/>
          <w:lang w:val="en-US" w:eastAsia="zh-CN"/>
        </w:rPr>
      </w:pPr>
      <w:r>
        <w:rPr>
          <w:rFonts w:hint="eastAsia"/>
          <w:lang w:val="en-US" w:eastAsia="zh-CN"/>
        </w:rPr>
        <w:t>6.3.3 绝缘型安全带经受10kV、1min工频耐压作用后，应无击穿、无闪络、无异常发热现象，绝缘表层不得出现脱落、破损、露底等缺陷。</w:t>
      </w:r>
    </w:p>
    <w:p w14:paraId="7AC96CF5">
      <w:pPr>
        <w:pStyle w:val="63"/>
        <w:ind w:left="0" w:leftChars="0" w:firstLine="0" w:firstLineChars="0"/>
        <w:rPr>
          <w:rFonts w:hint="eastAsia"/>
          <w:lang w:val="en-US" w:eastAsia="zh-CN"/>
        </w:rPr>
      </w:pPr>
      <w:r>
        <w:rPr>
          <w:rFonts w:hint="eastAsia"/>
          <w:lang w:val="en-US" w:eastAsia="zh-CN"/>
        </w:rPr>
        <w:t>6.3.4 普通型安全带无绝缘性能指标要求，但成品结构不应存在外露连续导电通路。</w:t>
      </w:r>
    </w:p>
    <w:p w14:paraId="23589859">
      <w:pPr>
        <w:pStyle w:val="112"/>
        <w:spacing w:before="120" w:after="120"/>
        <w:ind w:left="0" w:firstLine="0"/>
        <w:rPr>
          <w:rFonts w:hint="eastAsia"/>
          <w:lang w:val="en-US" w:eastAsia="zh-CN"/>
        </w:rPr>
      </w:pPr>
      <w:bookmarkStart w:id="76" w:name="_Toc9672"/>
      <w:r>
        <w:rPr>
          <w:rFonts w:hint="eastAsia"/>
          <w:lang w:val="en-US" w:eastAsia="zh-CN"/>
        </w:rPr>
        <w:t>防静电性能</w:t>
      </w:r>
      <w:bookmarkEnd w:id="76"/>
    </w:p>
    <w:p w14:paraId="7D38488E">
      <w:pPr>
        <w:pStyle w:val="63"/>
        <w:keepNext w:val="0"/>
        <w:keepLines w:val="0"/>
        <w:pageBreakBefore w:val="0"/>
        <w:widowControl/>
        <w:kinsoku/>
        <w:wordWrap/>
        <w:overflowPunct/>
        <w:topLinePunct w:val="0"/>
        <w:bidi w:val="0"/>
        <w:snapToGrid/>
        <w:spacing w:line="240" w:lineRule="auto"/>
        <w:ind w:left="0" w:leftChars="0" w:firstLine="0" w:firstLineChars="0"/>
        <w:textAlignment w:val="auto"/>
        <w:rPr>
          <w:rFonts w:hint="eastAsia"/>
          <w:lang w:val="en-US" w:eastAsia="zh-CN"/>
        </w:rPr>
      </w:pPr>
      <w:r>
        <w:rPr>
          <w:rFonts w:hint="eastAsia"/>
          <w:lang w:val="en-US" w:eastAsia="zh-CN"/>
        </w:rPr>
        <w:t>6.4.1 防静电型安全带应具备可靠的静电泄放能力，抑制作业静电积聚。</w:t>
      </w:r>
    </w:p>
    <w:p w14:paraId="6538AB1E">
      <w:pPr>
        <w:keepNext w:val="0"/>
        <w:keepLines w:val="0"/>
        <w:pageBreakBefore w:val="0"/>
        <w:widowControl/>
        <w:suppressLineNumbers w:val="0"/>
        <w:kinsoku/>
        <w:wordWrap/>
        <w:overflowPunct/>
        <w:topLinePunct w:val="0"/>
        <w:bidi w:val="0"/>
        <w:snapToGrid/>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6.4.2 </w:t>
      </w:r>
      <w:r>
        <w:rPr>
          <w:rFonts w:hint="eastAsia"/>
          <w:lang w:val="en-US" w:eastAsia="zh-CN"/>
        </w:rPr>
        <w:t>安全带</w:t>
      </w:r>
      <w:r>
        <w:rPr>
          <w:rFonts w:hint="eastAsia" w:ascii="宋体" w:hAnsi="宋体" w:eastAsia="宋体" w:cs="宋体"/>
          <w:sz w:val="21"/>
          <w:szCs w:val="21"/>
          <w:lang w:val="en-US" w:eastAsia="zh-CN"/>
        </w:rPr>
        <w:t>带体点对点电阻应控制在</w:t>
      </w:r>
      <w:r>
        <w:rPr>
          <w:rFonts w:hint="eastAsia" w:ascii="宋体" w:hAnsi="宋体" w:eastAsia="宋体" w:cs="宋体"/>
          <w:kern w:val="0"/>
          <w:sz w:val="21"/>
          <w:szCs w:val="21"/>
          <w:lang w:val="en-US" w:eastAsia="zh-CN" w:bidi="ar"/>
        </w:rPr>
        <w:t>1×10</w:t>
      </w:r>
      <w:r>
        <w:rPr>
          <w:rFonts w:hint="eastAsia" w:ascii="宋体" w:hAnsi="宋体" w:eastAsia="宋体" w:cs="宋体"/>
          <w:kern w:val="0"/>
          <w:sz w:val="21"/>
          <w:szCs w:val="21"/>
          <w:vertAlign w:val="superscript"/>
          <w:lang w:val="en-US" w:eastAsia="zh-CN" w:bidi="ar"/>
        </w:rPr>
        <w:t>5</w:t>
      </w:r>
      <w:r>
        <w:rPr>
          <w:rFonts w:hint="eastAsia" w:ascii="宋体" w:hAnsi="宋体" w:eastAsia="宋体" w:cs="宋体"/>
          <w:kern w:val="0"/>
          <w:sz w:val="21"/>
          <w:szCs w:val="21"/>
          <w:lang w:val="en-US" w:eastAsia="zh-CN" w:bidi="ar"/>
        </w:rPr>
        <w:t>Ω～1×10</w:t>
      </w:r>
      <w:r>
        <w:rPr>
          <w:rFonts w:hint="eastAsia" w:ascii="宋体" w:hAnsi="宋体" w:eastAsia="宋体" w:cs="宋体"/>
          <w:kern w:val="0"/>
          <w:sz w:val="21"/>
          <w:szCs w:val="21"/>
          <w:vertAlign w:val="superscript"/>
          <w:lang w:val="en-US" w:eastAsia="zh-CN" w:bidi="ar"/>
        </w:rPr>
        <w:t>11</w:t>
      </w:r>
      <w:r>
        <w:rPr>
          <w:rFonts w:hint="eastAsia" w:ascii="宋体" w:hAnsi="宋体" w:eastAsia="宋体" w:cs="宋体"/>
          <w:kern w:val="0"/>
          <w:sz w:val="21"/>
          <w:szCs w:val="21"/>
          <w:lang w:val="en-US" w:eastAsia="zh-CN" w:bidi="ar"/>
        </w:rPr>
        <w:t>Ω</w:t>
      </w:r>
      <w:r>
        <w:rPr>
          <w:rFonts w:hint="eastAsia" w:ascii="宋体" w:hAnsi="宋体" w:eastAsia="宋体" w:cs="宋体"/>
          <w:sz w:val="21"/>
          <w:szCs w:val="21"/>
          <w:lang w:val="en-US" w:eastAsia="zh-CN"/>
        </w:rPr>
        <w:t>。</w:t>
      </w:r>
    </w:p>
    <w:p w14:paraId="27139912">
      <w:pPr>
        <w:pStyle w:val="112"/>
        <w:spacing w:before="120" w:after="120"/>
        <w:ind w:left="0" w:firstLine="0"/>
        <w:rPr>
          <w:rFonts w:hint="eastAsia"/>
          <w:lang w:val="en-US" w:eastAsia="zh-CN"/>
        </w:rPr>
      </w:pPr>
      <w:bookmarkStart w:id="77" w:name="_Toc22574"/>
      <w:r>
        <w:rPr>
          <w:rFonts w:hint="eastAsia"/>
          <w:lang w:val="en-US" w:eastAsia="zh-CN"/>
        </w:rPr>
        <w:t>阻燃性能</w:t>
      </w:r>
      <w:bookmarkEnd w:id="77"/>
    </w:p>
    <w:p w14:paraId="05C92CB5">
      <w:pPr>
        <w:pStyle w:val="63"/>
        <w:ind w:left="0" w:leftChars="0" w:firstLine="0" w:firstLineChars="0"/>
        <w:rPr>
          <w:rFonts w:hint="eastAsia"/>
          <w:lang w:val="en-US" w:eastAsia="zh-CN"/>
        </w:rPr>
      </w:pPr>
      <w:r>
        <w:rPr>
          <w:rFonts w:hint="eastAsia"/>
          <w:lang w:val="en-US" w:eastAsia="zh-CN"/>
        </w:rPr>
        <w:t>6.5.1 阻燃型安全带应具备良好阻燃防护性能，可适配电力电弧、局部高温热源周边作业场景。</w:t>
      </w:r>
    </w:p>
    <w:p w14:paraId="6CF3D9CD">
      <w:pPr>
        <w:pStyle w:val="63"/>
        <w:ind w:left="0" w:leftChars="0" w:firstLine="0" w:firstLineChars="0"/>
        <w:rPr>
          <w:rFonts w:hint="eastAsia"/>
          <w:lang w:val="en-US" w:eastAsia="zh-CN"/>
        </w:rPr>
      </w:pPr>
      <w:r>
        <w:rPr>
          <w:rFonts w:hint="eastAsia"/>
          <w:lang w:val="en-US" w:eastAsia="zh-CN"/>
        </w:rPr>
        <w:t>6.5.2 安全带非金属防护部件、缝合线经阻燃测试后，续燃时间、阴燃时间均不应大于2s。</w:t>
      </w:r>
    </w:p>
    <w:p w14:paraId="532E1ADC">
      <w:pPr>
        <w:pStyle w:val="63"/>
        <w:ind w:left="0" w:leftChars="0" w:firstLine="0" w:firstLineChars="0"/>
        <w:rPr>
          <w:rFonts w:hint="eastAsia"/>
          <w:lang w:val="en-US" w:eastAsia="zh-CN"/>
        </w:rPr>
      </w:pPr>
      <w:r>
        <w:rPr>
          <w:rFonts w:hint="eastAsia"/>
          <w:lang w:val="en-US" w:eastAsia="zh-CN"/>
        </w:rPr>
        <w:t>6.5.3 安全带测试后不应出现熔融滴落、持续燃烧、阴燃复燃及缝合线烧焦、熔融、断裂等缺陷。</w:t>
      </w:r>
    </w:p>
    <w:p w14:paraId="4188E148">
      <w:pPr>
        <w:pStyle w:val="112"/>
        <w:spacing w:before="120" w:after="120"/>
        <w:ind w:left="0" w:firstLine="0"/>
        <w:rPr>
          <w:rFonts w:hint="eastAsia"/>
          <w:lang w:val="en-US" w:eastAsia="zh-CN"/>
        </w:rPr>
      </w:pPr>
      <w:bookmarkStart w:id="78" w:name="_Toc25547"/>
      <w:r>
        <w:rPr>
          <w:rFonts w:hint="eastAsia"/>
          <w:lang w:val="en-US" w:eastAsia="zh-CN"/>
        </w:rPr>
        <w:t>耐磨性能</w:t>
      </w:r>
      <w:bookmarkEnd w:id="78"/>
    </w:p>
    <w:p w14:paraId="4F8CC008">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在摩擦压力（9±0.2）N、摩擦频率30次/min、总摩擦次数100次条件下，带体不应出现断裂、分层、破损、严重起毛等缺陷，织带断裂强力下降率不应大于10%。</w:t>
      </w:r>
    </w:p>
    <w:p w14:paraId="2AFE1F22">
      <w:pPr>
        <w:pStyle w:val="112"/>
        <w:spacing w:before="120" w:after="120"/>
        <w:ind w:left="0" w:firstLine="0"/>
        <w:rPr>
          <w:rFonts w:hint="eastAsia"/>
          <w:lang w:val="en-US" w:eastAsia="zh-CN"/>
        </w:rPr>
      </w:pPr>
      <w:bookmarkStart w:id="79" w:name="_Toc6963"/>
      <w:r>
        <w:rPr>
          <w:rFonts w:hint="eastAsia"/>
          <w:lang w:val="en-US" w:eastAsia="zh-CN"/>
        </w:rPr>
        <w:t>耐环境老化性能</w:t>
      </w:r>
      <w:bookmarkEnd w:id="79"/>
    </w:p>
    <w:p w14:paraId="3259A8F9">
      <w:pPr>
        <w:pStyle w:val="63"/>
        <w:ind w:left="0" w:leftChars="0" w:firstLine="0" w:firstLineChars="0"/>
        <w:rPr>
          <w:rFonts w:hint="eastAsia"/>
          <w:lang w:val="en-US" w:eastAsia="zh-CN"/>
        </w:rPr>
      </w:pPr>
      <w:r>
        <w:rPr>
          <w:rFonts w:hint="eastAsia"/>
          <w:lang w:val="en-US" w:eastAsia="zh-CN"/>
        </w:rPr>
        <w:t>6.7.1 耐温性能</w:t>
      </w:r>
    </w:p>
    <w:p w14:paraId="440B97D7">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安全带经-10℃±2℃低温、50℃±2℃高温分别持续4h预处理后，整体应无硬化、脆裂、软化、变形现象，力学性能整体下降率不大于10%。</w:t>
      </w:r>
    </w:p>
    <w:p w14:paraId="6242DB8B">
      <w:pPr>
        <w:pStyle w:val="63"/>
        <w:ind w:left="0" w:leftChars="0" w:firstLine="0" w:firstLineChars="0"/>
        <w:rPr>
          <w:rFonts w:hint="eastAsia"/>
          <w:lang w:val="en-US" w:eastAsia="zh-CN"/>
        </w:rPr>
      </w:pPr>
      <w:r>
        <w:rPr>
          <w:rFonts w:hint="eastAsia"/>
          <w:lang w:val="en-US" w:eastAsia="zh-CN"/>
        </w:rPr>
        <w:t>6.7.2 耐水防潮性能</w:t>
      </w:r>
    </w:p>
    <w:p w14:paraId="46BCB1A7">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安全带经常温清水浸泡3h后，织带应无膨胀、霉变、脱层、发软缺陷，力学强度下降率不大于8%。</w:t>
      </w:r>
    </w:p>
    <w:p w14:paraId="2497EAA7">
      <w:pPr>
        <w:pStyle w:val="112"/>
        <w:spacing w:before="120" w:after="120"/>
        <w:ind w:left="0" w:firstLine="0"/>
        <w:rPr>
          <w:rFonts w:hint="eastAsia"/>
          <w:lang w:val="en-US" w:eastAsia="zh-CN"/>
        </w:rPr>
      </w:pPr>
      <w:bookmarkStart w:id="80" w:name="_Toc24116"/>
      <w:r>
        <w:rPr>
          <w:rFonts w:hint="eastAsia"/>
          <w:lang w:val="en-US" w:eastAsia="zh-CN"/>
        </w:rPr>
        <w:t>耐腐蚀与耐电蚀性能</w:t>
      </w:r>
      <w:bookmarkEnd w:id="80"/>
    </w:p>
    <w:p w14:paraId="2FFE33EF">
      <w:pPr>
        <w:pStyle w:val="63"/>
        <w:ind w:left="0" w:leftChars="0" w:firstLine="0" w:firstLineChars="0"/>
        <w:rPr>
          <w:rFonts w:hint="eastAsia"/>
          <w:lang w:val="en-US" w:eastAsia="zh-CN"/>
        </w:rPr>
      </w:pPr>
      <w:r>
        <w:rPr>
          <w:rFonts w:hint="eastAsia"/>
          <w:lang w:val="en-US" w:eastAsia="zh-CN"/>
        </w:rPr>
        <w:t>6.8.1 安全带金属零部件经中性盐雾试验后，不应出现锈蚀、起皮、涂层脱落等缺陷。</w:t>
      </w:r>
    </w:p>
    <w:p w14:paraId="21572D91">
      <w:pPr>
        <w:pStyle w:val="63"/>
        <w:ind w:left="0" w:leftChars="0" w:firstLine="0" w:firstLineChars="0"/>
        <w:rPr>
          <w:rFonts w:hint="eastAsia"/>
          <w:lang w:val="en-US" w:eastAsia="zh-CN"/>
        </w:rPr>
      </w:pPr>
      <w:r>
        <w:rPr>
          <w:rFonts w:hint="eastAsia"/>
          <w:lang w:val="en-US" w:eastAsia="zh-CN"/>
        </w:rPr>
        <w:t>6.8.2 安全带经电力微量电弧灼烧、电场老化预处理后，力学强度下降率不应大于15%。</w:t>
      </w:r>
    </w:p>
    <w:p w14:paraId="3941DC6E">
      <w:pPr>
        <w:pStyle w:val="63"/>
        <w:ind w:left="0" w:leftChars="0" w:firstLine="0" w:firstLineChars="0"/>
        <w:rPr>
          <w:rFonts w:hint="eastAsia"/>
          <w:lang w:val="en-US" w:eastAsia="zh-CN"/>
        </w:rPr>
      </w:pPr>
      <w:r>
        <w:rPr>
          <w:rFonts w:hint="eastAsia"/>
          <w:lang w:val="en-US" w:eastAsia="zh-CN"/>
        </w:rPr>
        <w:t>6.8.3 安全带经化学试剂浸泡试验后，断裂强力下降率不应大于30%。</w:t>
      </w:r>
    </w:p>
    <w:p w14:paraId="2069E222">
      <w:pPr>
        <w:pStyle w:val="111"/>
        <w:spacing w:before="240" w:after="240"/>
        <w:rPr>
          <w:rFonts w:hint="eastAsia"/>
          <w:szCs w:val="21"/>
          <w:lang w:val="en-US" w:eastAsia="zh-CN"/>
        </w:rPr>
      </w:pPr>
      <w:bookmarkStart w:id="81" w:name="_Toc12726"/>
      <w:r>
        <w:rPr>
          <w:rFonts w:hint="eastAsia"/>
          <w:szCs w:val="21"/>
          <w:lang w:val="en-US" w:eastAsia="zh-CN"/>
        </w:rPr>
        <w:t>试验方法</w:t>
      </w:r>
      <w:bookmarkEnd w:id="81"/>
    </w:p>
    <w:p w14:paraId="13520DEC">
      <w:pPr>
        <w:pStyle w:val="112"/>
        <w:spacing w:before="120" w:after="120"/>
        <w:ind w:left="0" w:firstLine="0"/>
        <w:rPr>
          <w:rFonts w:hint="eastAsia"/>
          <w:lang w:val="en-US" w:eastAsia="zh-CN"/>
        </w:rPr>
      </w:pPr>
      <w:bookmarkStart w:id="82" w:name="_Toc6412"/>
      <w:r>
        <w:rPr>
          <w:rFonts w:hint="eastAsia"/>
          <w:lang w:val="en-US" w:eastAsia="zh-CN"/>
        </w:rPr>
        <w:t>试验条件</w:t>
      </w:r>
      <w:bookmarkEnd w:id="82"/>
    </w:p>
    <w:p w14:paraId="6E23B3B5">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所有试验样品应为全新未使用、无损伤安全带，试验环境温度为23℃±2℃，相对湿度50%±5%，样品在试验环境中静置平衡2h后方可开展测试。每项性能测试随机抽取3组样品，测试结果取平均值。</w:t>
      </w:r>
    </w:p>
    <w:p w14:paraId="694EA98E">
      <w:pPr>
        <w:pStyle w:val="112"/>
        <w:spacing w:before="120" w:after="120"/>
        <w:ind w:left="0" w:firstLine="0"/>
        <w:rPr>
          <w:rFonts w:hint="eastAsia"/>
          <w:lang w:val="en-US" w:eastAsia="zh-CN"/>
        </w:rPr>
      </w:pPr>
      <w:bookmarkStart w:id="83" w:name="_Toc22314"/>
      <w:r>
        <w:rPr>
          <w:rFonts w:hint="eastAsia"/>
          <w:lang w:val="en-US" w:eastAsia="zh-CN"/>
        </w:rPr>
        <w:t>静态力学性能试验</w:t>
      </w:r>
      <w:bookmarkEnd w:id="83"/>
    </w:p>
    <w:p w14:paraId="62505D66">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7.2.1 织带力学性能试验</w:t>
      </w:r>
    </w:p>
    <w:p w14:paraId="301DAACD">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按GB 6095附录A的规定执行，采用万能材料试验机，以100mm/min匀速加载，分别测试安全带主承重带、辅带断裂强力；同时对经标准光照老化预处理后的试样进行力学测试，核算织带老化后强度下降率。</w:t>
      </w:r>
    </w:p>
    <w:p w14:paraId="44725ED4">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7.2.2 整体静态负荷试验</w:t>
      </w:r>
    </w:p>
    <w:p w14:paraId="2F82E3D2">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按GB 6095附录A.2.2、A.2.3的规定执行，对区域限制安全带施加2.2kN额定载荷，对围杆作业、坠落悬挂安全带施加15kN额定载荷，保载5min，试验过程观测带体滑移量、零部件变形断裂、连接器自行开启及松脱、结构永久变形等情况。</w:t>
      </w:r>
    </w:p>
    <w:p w14:paraId="79856308">
      <w:pPr>
        <w:pStyle w:val="112"/>
        <w:spacing w:before="120" w:after="120"/>
        <w:ind w:left="0" w:firstLine="0"/>
        <w:rPr>
          <w:rFonts w:hint="eastAsia"/>
          <w:lang w:val="en-US" w:eastAsia="zh-CN"/>
        </w:rPr>
      </w:pPr>
      <w:bookmarkStart w:id="84" w:name="_Toc13153"/>
      <w:r>
        <w:rPr>
          <w:rFonts w:hint="eastAsia"/>
          <w:lang w:val="en-US" w:eastAsia="zh-CN"/>
        </w:rPr>
        <w:t>动态冲击坠落试验</w:t>
      </w:r>
      <w:bookmarkEnd w:id="84"/>
    </w:p>
    <w:p w14:paraId="08718742">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按GB/T 6096的规定执行，采用100kg标准模拟人体模型，设置2m有效坠落高度开展自由坠落试验。试验测试并记录冲击作用力峰值、模拟人体悬吊姿态倾角、织带变形及滑移量，核查坠落悬挂型安全带悬吊状态及坠落指示功能有效性。</w:t>
      </w:r>
    </w:p>
    <w:p w14:paraId="159C8A0B">
      <w:pPr>
        <w:pStyle w:val="112"/>
        <w:spacing w:before="120" w:after="120"/>
        <w:ind w:left="0" w:firstLine="0"/>
        <w:rPr>
          <w:rFonts w:hint="eastAsia"/>
          <w:lang w:val="en-US" w:eastAsia="zh-CN"/>
        </w:rPr>
      </w:pPr>
      <w:bookmarkStart w:id="85" w:name="_Toc16954"/>
      <w:r>
        <w:rPr>
          <w:rFonts w:hint="eastAsia"/>
          <w:lang w:val="en-US" w:eastAsia="zh-CN"/>
        </w:rPr>
        <w:t>电气安全试验</w:t>
      </w:r>
      <w:bookmarkEnd w:id="85"/>
    </w:p>
    <w:p w14:paraId="6CEB37AC">
      <w:pPr>
        <w:pStyle w:val="63"/>
        <w:ind w:left="0" w:leftChars="0" w:firstLine="0" w:firstLineChars="0"/>
        <w:rPr>
          <w:rFonts w:hint="eastAsia"/>
          <w:lang w:val="en-US" w:eastAsia="zh-CN"/>
        </w:rPr>
      </w:pPr>
      <w:r>
        <w:rPr>
          <w:rFonts w:hint="eastAsia"/>
          <w:lang w:val="en-US" w:eastAsia="zh-CN"/>
        </w:rPr>
        <w:t>7.4.1 绝缘电阻测试</w:t>
      </w:r>
    </w:p>
    <w:p w14:paraId="51046FF8">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按GB/T 24343的规定执行。</w:t>
      </w:r>
    </w:p>
    <w:p w14:paraId="22A235B1">
      <w:pPr>
        <w:pStyle w:val="63"/>
        <w:ind w:left="0" w:leftChars="0" w:firstLine="0" w:firstLineChars="0"/>
        <w:rPr>
          <w:rFonts w:hint="eastAsia"/>
          <w:lang w:val="en-US" w:eastAsia="zh-CN"/>
        </w:rPr>
      </w:pPr>
      <w:r>
        <w:rPr>
          <w:rFonts w:hint="eastAsia"/>
          <w:lang w:val="en-US" w:eastAsia="zh-CN"/>
        </w:rPr>
        <w:t>7.4.2 工频耐压试验</w:t>
      </w:r>
    </w:p>
    <w:p w14:paraId="49509C80">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按GB/T 24344的规定执行。</w:t>
      </w:r>
    </w:p>
    <w:p w14:paraId="5F00A2F2">
      <w:pPr>
        <w:pStyle w:val="63"/>
        <w:ind w:left="0" w:leftChars="0" w:firstLine="0" w:firstLineChars="0"/>
        <w:rPr>
          <w:rFonts w:hint="eastAsia"/>
          <w:lang w:val="en-US" w:eastAsia="zh-CN"/>
        </w:rPr>
      </w:pPr>
      <w:r>
        <w:rPr>
          <w:rFonts w:hint="eastAsia"/>
          <w:lang w:val="en-US" w:eastAsia="zh-CN"/>
        </w:rPr>
        <w:t>7.4.3 普通型安全带核查</w:t>
      </w:r>
    </w:p>
    <w:p w14:paraId="02C4BAEB">
      <w:pPr>
        <w:pStyle w:val="63"/>
        <w:keepNext w:val="0"/>
        <w:keepLines w:val="0"/>
        <w:pageBreakBefore w:val="0"/>
        <w:widowControl/>
        <w:kinsoku/>
        <w:wordWrap/>
        <w:overflowPunct/>
        <w:topLinePunct w:val="0"/>
        <w:autoSpaceDE w:val="0"/>
        <w:autoSpaceDN w:val="0"/>
        <w:bidi w:val="0"/>
        <w:adjustRightInd/>
        <w:snapToGrid/>
        <w:ind w:left="0" w:leftChars="0" w:firstLine="420" w:firstLineChars="200"/>
        <w:textAlignment w:val="auto"/>
        <w:rPr>
          <w:rFonts w:hint="eastAsia"/>
          <w:lang w:val="en-US" w:eastAsia="zh-CN"/>
        </w:rPr>
      </w:pPr>
      <w:r>
        <w:rPr>
          <w:rFonts w:hint="eastAsia"/>
          <w:lang w:val="en-US" w:eastAsia="zh-CN"/>
        </w:rPr>
        <w:t>目视及导通核查普通型安全带结构，确认无外露连续导电通路。</w:t>
      </w:r>
    </w:p>
    <w:p w14:paraId="14A80CBA">
      <w:pPr>
        <w:pStyle w:val="112"/>
        <w:spacing w:before="120" w:after="120"/>
        <w:ind w:left="0" w:firstLine="0"/>
        <w:rPr>
          <w:rFonts w:hint="eastAsia"/>
          <w:lang w:val="en-US" w:eastAsia="zh-CN"/>
        </w:rPr>
      </w:pPr>
      <w:bookmarkStart w:id="86" w:name="_Toc13729"/>
      <w:r>
        <w:rPr>
          <w:rFonts w:hint="eastAsia"/>
          <w:lang w:val="en-US" w:eastAsia="zh-CN"/>
        </w:rPr>
        <w:t>防静电试验</w:t>
      </w:r>
      <w:bookmarkEnd w:id="86"/>
    </w:p>
    <w:p w14:paraId="40EC11CD">
      <w:pPr>
        <w:pStyle w:val="63"/>
        <w:rPr>
          <w:rFonts w:hint="eastAsia"/>
          <w:lang w:val="en-US" w:eastAsia="zh-CN"/>
        </w:rPr>
      </w:pPr>
      <w:r>
        <w:rPr>
          <w:rFonts w:hint="eastAsia"/>
          <w:lang w:val="en-US" w:eastAsia="zh-CN"/>
        </w:rPr>
        <w:t>按GB 12014附录A的规定执行。</w:t>
      </w:r>
    </w:p>
    <w:p w14:paraId="70ECEAC2">
      <w:pPr>
        <w:pStyle w:val="112"/>
        <w:spacing w:before="120" w:after="120"/>
        <w:ind w:left="0" w:firstLine="0"/>
        <w:rPr>
          <w:rFonts w:hint="eastAsia"/>
          <w:lang w:val="en-US" w:eastAsia="zh-CN"/>
        </w:rPr>
      </w:pPr>
      <w:bookmarkStart w:id="87" w:name="_Toc7243"/>
      <w:r>
        <w:rPr>
          <w:rFonts w:hint="eastAsia"/>
          <w:lang w:val="en-US" w:eastAsia="zh-CN"/>
        </w:rPr>
        <w:t>阻燃试验</w:t>
      </w:r>
      <w:bookmarkEnd w:id="87"/>
    </w:p>
    <w:p w14:paraId="1C1F6793">
      <w:pPr>
        <w:pStyle w:val="63"/>
        <w:rPr>
          <w:rFonts w:hint="eastAsia"/>
          <w:lang w:val="en-US" w:eastAsia="zh-CN"/>
        </w:rPr>
      </w:pPr>
      <w:r>
        <w:rPr>
          <w:rFonts w:hint="eastAsia"/>
          <w:lang w:val="en-US" w:eastAsia="zh-CN"/>
        </w:rPr>
        <w:t>按GB/T 6096的规定执行。</w:t>
      </w:r>
    </w:p>
    <w:p w14:paraId="240C6161">
      <w:pPr>
        <w:pStyle w:val="112"/>
        <w:spacing w:before="120" w:after="120"/>
        <w:ind w:left="0" w:firstLine="0"/>
        <w:rPr>
          <w:rFonts w:hint="eastAsia"/>
          <w:lang w:val="en-US" w:eastAsia="zh-CN"/>
        </w:rPr>
      </w:pPr>
      <w:bookmarkStart w:id="88" w:name="_Toc928"/>
      <w:r>
        <w:rPr>
          <w:rFonts w:hint="eastAsia"/>
          <w:lang w:val="en-US" w:eastAsia="zh-CN"/>
        </w:rPr>
        <w:t>耐磨试验</w:t>
      </w:r>
      <w:bookmarkEnd w:id="88"/>
    </w:p>
    <w:p w14:paraId="20580A51">
      <w:pPr>
        <w:pStyle w:val="63"/>
        <w:ind w:left="0" w:leftChars="0" w:firstLine="0" w:firstLineChars="0"/>
        <w:rPr>
          <w:rFonts w:hint="eastAsia"/>
          <w:lang w:val="en-US" w:eastAsia="zh-CN"/>
        </w:rPr>
      </w:pPr>
      <w:r>
        <w:rPr>
          <w:rFonts w:hint="eastAsia"/>
          <w:lang w:val="en-US" w:eastAsia="zh-CN"/>
        </w:rPr>
        <w:t>7.7.1 外观核查试验</w:t>
      </w:r>
    </w:p>
    <w:p w14:paraId="369A5D15">
      <w:pPr>
        <w:pStyle w:val="63"/>
        <w:rPr>
          <w:rFonts w:hint="eastAsia"/>
          <w:lang w:val="en-US" w:eastAsia="zh-CN"/>
        </w:rPr>
      </w:pPr>
      <w:r>
        <w:rPr>
          <w:rFonts w:hint="eastAsia"/>
          <w:lang w:val="en-US" w:eastAsia="zh-CN"/>
        </w:rPr>
        <w:t>采用II型摩擦色牢度测试仪，在摩擦压力（9±0.2）N、摩擦频率30次/min、总摩擦次数100次条件下开展耐磨测试，试验后核查带体外观，确认无断裂、分层、破损、严重起毛缺陷。</w:t>
      </w:r>
    </w:p>
    <w:p w14:paraId="41216894">
      <w:pPr>
        <w:pStyle w:val="63"/>
        <w:ind w:left="0" w:leftChars="0" w:firstLine="0" w:firstLineChars="0"/>
        <w:rPr>
          <w:rFonts w:hint="eastAsia"/>
          <w:lang w:val="en-US" w:eastAsia="zh-CN"/>
        </w:rPr>
      </w:pPr>
      <w:r>
        <w:rPr>
          <w:rFonts w:hint="eastAsia"/>
          <w:lang w:val="en-US" w:eastAsia="zh-CN"/>
        </w:rPr>
        <w:t>7.7.2 强度衰减测试</w:t>
      </w:r>
    </w:p>
    <w:p w14:paraId="117037BE">
      <w:pPr>
        <w:pStyle w:val="63"/>
        <w:rPr>
          <w:rFonts w:hint="eastAsia"/>
          <w:lang w:val="en-US" w:eastAsia="zh-CN"/>
        </w:rPr>
      </w:pPr>
      <w:r>
        <w:rPr>
          <w:rFonts w:hint="eastAsia"/>
          <w:lang w:val="en-US" w:eastAsia="zh-CN"/>
        </w:rPr>
        <w:t>耐磨试验完成后，测试织带断裂强力，核算强度下降率。</w:t>
      </w:r>
    </w:p>
    <w:p w14:paraId="462CA314">
      <w:pPr>
        <w:pStyle w:val="112"/>
        <w:spacing w:before="120" w:after="120"/>
        <w:ind w:left="0" w:firstLine="0"/>
        <w:rPr>
          <w:rFonts w:hint="eastAsia"/>
          <w:lang w:val="en-US" w:eastAsia="zh-CN"/>
        </w:rPr>
      </w:pPr>
      <w:bookmarkStart w:id="89" w:name="_Toc8662"/>
      <w:r>
        <w:rPr>
          <w:rFonts w:hint="eastAsia"/>
          <w:lang w:val="en-US" w:eastAsia="zh-CN"/>
        </w:rPr>
        <w:t>耐环境老化试验</w:t>
      </w:r>
      <w:bookmarkEnd w:id="89"/>
    </w:p>
    <w:p w14:paraId="573EF5CA">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7.8.1 高低温老化试验</w:t>
      </w:r>
    </w:p>
    <w:p w14:paraId="6A1E88A4">
      <w:pPr>
        <w:pStyle w:val="63"/>
        <w:rPr>
          <w:rFonts w:hint="eastAsia"/>
          <w:lang w:val="en-US" w:eastAsia="zh-CN"/>
        </w:rPr>
      </w:pPr>
      <w:r>
        <w:rPr>
          <w:rFonts w:hint="eastAsia"/>
          <w:lang w:val="en-US" w:eastAsia="zh-CN"/>
        </w:rPr>
        <w:t>将样品分别放入高低温试验箱，-10℃±2℃、50℃±2℃各放置4h，取出静置恢复常温后，检测力学性能变化率。</w:t>
      </w:r>
    </w:p>
    <w:p w14:paraId="37EBDEC5">
      <w:pPr>
        <w:pStyle w:val="63"/>
        <w:keepNext w:val="0"/>
        <w:keepLines w:val="0"/>
        <w:pageBreakBefore w:val="0"/>
        <w:widowControl/>
        <w:kinsoku/>
        <w:wordWrap/>
        <w:overflowPunct/>
        <w:topLinePunct w:val="0"/>
        <w:autoSpaceDE w:val="0"/>
        <w:autoSpaceDN w:val="0"/>
        <w:bidi w:val="0"/>
        <w:adjustRightInd/>
        <w:snapToGrid/>
        <w:ind w:left="0" w:leftChars="0" w:firstLine="0" w:firstLineChars="0"/>
        <w:textAlignment w:val="auto"/>
        <w:rPr>
          <w:rFonts w:hint="eastAsia"/>
          <w:lang w:val="en-US" w:eastAsia="zh-CN"/>
        </w:rPr>
      </w:pPr>
      <w:r>
        <w:rPr>
          <w:rFonts w:hint="eastAsia"/>
          <w:lang w:val="en-US" w:eastAsia="zh-CN"/>
        </w:rPr>
        <w:t>7.8.2 耐水防潮试验</w:t>
      </w:r>
    </w:p>
    <w:p w14:paraId="436E8DD4">
      <w:pPr>
        <w:pStyle w:val="63"/>
        <w:rPr>
          <w:rFonts w:hint="eastAsia"/>
          <w:lang w:val="en-US" w:eastAsia="zh-CN"/>
        </w:rPr>
      </w:pPr>
      <w:r>
        <w:rPr>
          <w:rFonts w:hint="eastAsia"/>
          <w:lang w:val="en-US" w:eastAsia="zh-CN"/>
        </w:rPr>
        <w:t>将样品置于常温清水中浸泡3h，取出晾干后核查外观状态，测试力学性能并核算强度下降率。</w:t>
      </w:r>
    </w:p>
    <w:p w14:paraId="1087CE46">
      <w:pPr>
        <w:pStyle w:val="112"/>
        <w:spacing w:before="120" w:after="120"/>
        <w:ind w:left="0" w:firstLine="0"/>
        <w:rPr>
          <w:rFonts w:hint="eastAsia"/>
          <w:lang w:val="en-US" w:eastAsia="zh-CN"/>
        </w:rPr>
      </w:pPr>
      <w:bookmarkStart w:id="90" w:name="_Toc6150"/>
      <w:r>
        <w:rPr>
          <w:rFonts w:hint="eastAsia"/>
          <w:lang w:val="en-US" w:eastAsia="zh-CN"/>
        </w:rPr>
        <w:t>耐腐蚀与耐电蚀试验</w:t>
      </w:r>
      <w:bookmarkEnd w:id="90"/>
    </w:p>
    <w:p w14:paraId="58BA41CB">
      <w:pPr>
        <w:pStyle w:val="63"/>
        <w:ind w:left="0" w:leftChars="0" w:firstLine="0" w:firstLineChars="0"/>
        <w:rPr>
          <w:rFonts w:hint="eastAsia"/>
          <w:lang w:val="en-US" w:eastAsia="zh-CN"/>
        </w:rPr>
      </w:pPr>
      <w:r>
        <w:rPr>
          <w:rFonts w:hint="eastAsia"/>
          <w:lang w:val="en-US" w:eastAsia="zh-CN"/>
        </w:rPr>
        <w:t>7.9.1 盐雾腐蚀试验</w:t>
      </w:r>
    </w:p>
    <w:p w14:paraId="1B38014F">
      <w:pPr>
        <w:pStyle w:val="63"/>
        <w:rPr>
          <w:rFonts w:hint="eastAsia"/>
          <w:lang w:val="en-US" w:eastAsia="zh-CN"/>
        </w:rPr>
      </w:pPr>
      <w:r>
        <w:rPr>
          <w:rFonts w:hint="eastAsia"/>
          <w:lang w:val="en-US" w:eastAsia="zh-CN"/>
        </w:rPr>
        <w:t>按GB/T 10125的规定执行。</w:t>
      </w:r>
    </w:p>
    <w:p w14:paraId="00C71195">
      <w:pPr>
        <w:pStyle w:val="63"/>
        <w:ind w:left="0" w:leftChars="0" w:firstLine="0" w:firstLineChars="0"/>
        <w:rPr>
          <w:rFonts w:hint="eastAsia"/>
          <w:lang w:val="en-US" w:eastAsia="zh-CN"/>
        </w:rPr>
      </w:pPr>
      <w:r>
        <w:rPr>
          <w:rFonts w:hint="eastAsia"/>
          <w:lang w:val="en-US" w:eastAsia="zh-CN"/>
        </w:rPr>
        <w:t>7.9.2 电蚀老化试验</w:t>
      </w:r>
    </w:p>
    <w:p w14:paraId="236FBE0B">
      <w:pPr>
        <w:pStyle w:val="63"/>
        <w:rPr>
          <w:rFonts w:hint="eastAsia"/>
          <w:lang w:val="en-US" w:eastAsia="zh-CN"/>
        </w:rPr>
      </w:pPr>
      <w:r>
        <w:rPr>
          <w:rFonts w:hint="eastAsia"/>
          <w:lang w:val="en-US" w:eastAsia="zh-CN"/>
        </w:rPr>
        <w:t>对样品进行电力微量电弧灼烧、电场老化预处理后，测试力学性能并核算强度下降率。</w:t>
      </w:r>
    </w:p>
    <w:p w14:paraId="69E08650">
      <w:pPr>
        <w:pStyle w:val="63"/>
        <w:ind w:left="0" w:leftChars="0" w:firstLine="0" w:firstLineChars="0"/>
        <w:rPr>
          <w:rFonts w:hint="eastAsia"/>
          <w:lang w:val="en-US" w:eastAsia="zh-CN"/>
        </w:rPr>
      </w:pPr>
      <w:r>
        <w:rPr>
          <w:rFonts w:hint="eastAsia"/>
          <w:lang w:val="en-US" w:eastAsia="zh-CN"/>
        </w:rPr>
        <w:t>7.9.3 化学腐蚀试验</w:t>
      </w:r>
    </w:p>
    <w:p w14:paraId="5A1D22AB">
      <w:pPr>
        <w:pStyle w:val="63"/>
        <w:rPr>
          <w:rFonts w:hint="eastAsia"/>
          <w:lang w:val="en-US" w:eastAsia="zh-CN"/>
        </w:rPr>
      </w:pPr>
      <w:r>
        <w:rPr>
          <w:rFonts w:hint="eastAsia"/>
          <w:lang w:val="en-US" w:eastAsia="zh-CN"/>
        </w:rPr>
        <w:t>按GB 24539的规定执行。</w:t>
      </w:r>
    </w:p>
    <w:bookmarkEnd w:id="68"/>
    <w:p w14:paraId="1C9EDC98">
      <w:pPr>
        <w:numPr>
          <w:ilvl w:val="1"/>
          <w:numId w:val="2"/>
        </w:numPr>
        <w:spacing w:before="240" w:beforeLines="100" w:after="240" w:afterLines="100"/>
        <w:ind w:left="0" w:firstLine="0"/>
        <w:jc w:val="both"/>
        <w:outlineLvl w:val="0"/>
        <w:rPr>
          <w:rFonts w:hint="eastAsia" w:ascii="黑体" w:hAnsi="Times New Roman" w:eastAsia="黑体" w:cs="Times New Roman"/>
          <w:sz w:val="21"/>
          <w:lang w:val="en-US" w:eastAsia="zh-CN" w:bidi="ar-SA"/>
        </w:rPr>
      </w:pPr>
      <w:bookmarkStart w:id="91" w:name="_Toc6830"/>
      <w:bookmarkStart w:id="92" w:name="_Toc10926"/>
      <w:r>
        <w:rPr>
          <w:rFonts w:hint="eastAsia" w:ascii="黑体" w:hAnsi="Times New Roman" w:eastAsia="黑体" w:cs="Times New Roman"/>
          <w:sz w:val="21"/>
          <w:lang w:val="en-US" w:eastAsia="zh-CN" w:bidi="ar-SA"/>
        </w:rPr>
        <w:t>检验规则</w:t>
      </w:r>
      <w:bookmarkEnd w:id="91"/>
      <w:bookmarkEnd w:id="92"/>
    </w:p>
    <w:p w14:paraId="37DF0770">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93" w:name="_Toc30603"/>
      <w:bookmarkStart w:id="94" w:name="_Toc30045"/>
      <w:bookmarkStart w:id="95" w:name="_Toc21802"/>
      <w:bookmarkStart w:id="96" w:name="_Toc22366"/>
      <w:bookmarkStart w:id="97" w:name="_Toc26414"/>
      <w:bookmarkStart w:id="98" w:name="_Toc21586"/>
      <w:bookmarkStart w:id="99" w:name="_Toc7163"/>
      <w:bookmarkStart w:id="100" w:name="_Toc3006"/>
      <w:bookmarkStart w:id="101" w:name="_Toc13731"/>
      <w:r>
        <w:rPr>
          <w:rFonts w:hint="eastAsia" w:ascii="黑体" w:hAnsi="黑体" w:eastAsia="黑体" w:cs="Times New Roman"/>
          <w:b w:val="0"/>
          <w:bCs w:val="0"/>
          <w:sz w:val="21"/>
          <w:lang w:val="en-US" w:eastAsia="zh-CN" w:bidi="ar-SA"/>
        </w:rPr>
        <w:t>检验分类</w:t>
      </w:r>
      <w:bookmarkEnd w:id="93"/>
      <w:bookmarkEnd w:id="94"/>
      <w:bookmarkEnd w:id="95"/>
      <w:bookmarkEnd w:id="96"/>
      <w:bookmarkEnd w:id="97"/>
      <w:bookmarkEnd w:id="98"/>
      <w:bookmarkEnd w:id="99"/>
      <w:bookmarkEnd w:id="100"/>
      <w:bookmarkEnd w:id="101"/>
    </w:p>
    <w:p w14:paraId="7AB31D0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本文件要求的检验分为出厂检验和型式检验两类。</w:t>
      </w:r>
    </w:p>
    <w:p w14:paraId="7A74BB38">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102" w:name="_Toc23268"/>
      <w:bookmarkStart w:id="103" w:name="_Toc28274"/>
      <w:bookmarkStart w:id="104" w:name="_Toc4395"/>
      <w:bookmarkStart w:id="105" w:name="_Toc4473"/>
      <w:bookmarkStart w:id="106" w:name="_Toc25862"/>
      <w:bookmarkStart w:id="107" w:name="_Toc645"/>
      <w:bookmarkStart w:id="108" w:name="_Toc13736"/>
      <w:r>
        <w:rPr>
          <w:rFonts w:hint="eastAsia" w:ascii="黑体" w:hAnsi="黑体" w:eastAsia="黑体" w:cs="Times New Roman"/>
          <w:b w:val="0"/>
          <w:bCs w:val="0"/>
          <w:sz w:val="21"/>
          <w:lang w:val="en-US" w:eastAsia="zh-CN" w:bidi="ar-SA"/>
        </w:rPr>
        <w:t>出厂检验</w:t>
      </w:r>
      <w:bookmarkEnd w:id="102"/>
      <w:bookmarkEnd w:id="103"/>
      <w:bookmarkEnd w:id="104"/>
      <w:bookmarkEnd w:id="105"/>
      <w:bookmarkEnd w:id="106"/>
      <w:bookmarkEnd w:id="107"/>
      <w:bookmarkEnd w:id="108"/>
    </w:p>
    <w:p w14:paraId="2E3CEE9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出厂检验的项目应包括产品外观状态、结构尺寸、零部件装配质量、连接器锁止可靠性等关键指标，各项指标均满足本文件的要求时，方可被判定为合格产品；对于不合格的产品，应进行返工或报废处理。</w:t>
      </w:r>
    </w:p>
    <w:p w14:paraId="7DF2E999">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109" w:name="_Toc17726"/>
      <w:bookmarkStart w:id="110" w:name="_Toc1955"/>
      <w:bookmarkStart w:id="111" w:name="_Toc21049"/>
      <w:bookmarkStart w:id="112" w:name="_Toc647"/>
      <w:bookmarkStart w:id="113" w:name="_Toc26023"/>
      <w:bookmarkStart w:id="114" w:name="_Toc12774"/>
      <w:bookmarkStart w:id="115" w:name="_Toc10737"/>
      <w:bookmarkStart w:id="116" w:name="_Toc14006"/>
      <w:bookmarkStart w:id="117" w:name="_Toc2313"/>
      <w:bookmarkStart w:id="118" w:name="_Toc30059"/>
      <w:bookmarkStart w:id="119" w:name="_Toc889"/>
      <w:r>
        <w:rPr>
          <w:rFonts w:hint="eastAsia" w:ascii="黑体" w:hAnsi="黑体" w:eastAsia="黑体" w:cs="Times New Roman"/>
          <w:b w:val="0"/>
          <w:bCs w:val="0"/>
          <w:sz w:val="21"/>
          <w:lang w:val="en-US" w:eastAsia="zh-CN" w:bidi="ar-SA"/>
        </w:rPr>
        <w:t>型式检验</w:t>
      </w:r>
      <w:bookmarkEnd w:id="109"/>
      <w:bookmarkEnd w:id="110"/>
      <w:bookmarkEnd w:id="111"/>
      <w:bookmarkEnd w:id="112"/>
      <w:bookmarkEnd w:id="113"/>
      <w:bookmarkEnd w:id="114"/>
      <w:bookmarkEnd w:id="115"/>
      <w:bookmarkEnd w:id="116"/>
      <w:bookmarkEnd w:id="117"/>
    </w:p>
    <w:p w14:paraId="6D4F7DA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8.3.1 检验时机</w:t>
      </w:r>
    </w:p>
    <w:p w14:paraId="2692D19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ascii="宋体" w:hAnsi="Times New Roman" w:eastAsia="宋体" w:cs="Times New Roman"/>
          <w:sz w:val="21"/>
          <w:lang w:val="en-US" w:eastAsia="zh-CN" w:bidi="ar-SA"/>
        </w:rPr>
      </w:pPr>
      <w:r>
        <w:rPr>
          <w:rFonts w:ascii="宋体" w:hAnsi="Times New Roman" w:eastAsia="宋体" w:cs="Times New Roman"/>
          <w:sz w:val="21"/>
          <w:lang w:val="en-US" w:eastAsia="zh-CN" w:bidi="ar-SA"/>
        </w:rPr>
        <w:t>有下列情形之一时，应进行型式检验：</w:t>
      </w:r>
    </w:p>
    <w:p w14:paraId="3717BFE1">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a）新产品试制定型鉴定时；</w:t>
      </w:r>
    </w:p>
    <w:p w14:paraId="23CB46F3">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b）设计、工艺或主要原材料有较大改变，可能影响产品性能；</w:t>
      </w:r>
    </w:p>
    <w:p w14:paraId="5FA6D347">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c）正常生产满一年时；</w:t>
      </w:r>
    </w:p>
    <w:p w14:paraId="778201BF">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d）间隔一年以上再生产时；</w:t>
      </w:r>
    </w:p>
    <w:p w14:paraId="4897BA50">
      <w:pPr>
        <w:keepNext w:val="0"/>
        <w:keepLines w:val="0"/>
        <w:pageBreakBefore w:val="0"/>
        <w:widowControl/>
        <w:kinsoku/>
        <w:wordWrap/>
        <w:overflowPunct/>
        <w:topLinePunct w:val="0"/>
        <w:autoSpaceDE w:val="0"/>
        <w:autoSpaceDN w:val="0"/>
        <w:bidi w:val="0"/>
        <w:adjustRightInd/>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e）出厂检验结果与同产品型号或批次的型式检验有较大差异时。</w:t>
      </w:r>
    </w:p>
    <w:p w14:paraId="794F2991">
      <w:pPr>
        <w:keepNext w:val="0"/>
        <w:keepLines w:val="0"/>
        <w:pageBreakBefore w:val="0"/>
        <w:kinsoku/>
        <w:wordWrap/>
        <w:overflowPunct/>
        <w:topLinePunct w:val="0"/>
        <w:autoSpaceDE w:val="0"/>
        <w:autoSpaceDN w:val="0"/>
        <w:bidi w:val="0"/>
        <w:snapToGrid/>
        <w:spacing w:line="240" w:lineRule="auto"/>
        <w:ind w:firstLine="0" w:firstLineChars="0"/>
        <w:jc w:val="both"/>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8.3.2 检验项目</w:t>
      </w:r>
    </w:p>
    <w:p w14:paraId="3912A99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型式检验项目应包括本文件第6章规定的所有技术指标。</w:t>
      </w:r>
    </w:p>
    <w:p w14:paraId="0CCFA7AF">
      <w:pPr>
        <w:keepNext w:val="0"/>
        <w:keepLines w:val="0"/>
        <w:pageBreakBefore w:val="0"/>
        <w:kinsoku/>
        <w:wordWrap/>
        <w:overflowPunct/>
        <w:topLinePunct w:val="0"/>
        <w:autoSpaceDE w:val="0"/>
        <w:autoSpaceDN w:val="0"/>
        <w:bidi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8.3.3 抽样规则</w:t>
      </w:r>
    </w:p>
    <w:p w14:paraId="5E54A75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宋体" w:hAnsi="Times New Roman" w:eastAsia="宋体" w:cs="Times New Roman"/>
          <w:sz w:val="21"/>
          <w:lang w:val="en-US" w:eastAsia="zh-CN" w:bidi="ar-SA"/>
        </w:rPr>
      </w:pPr>
      <w:r>
        <w:rPr>
          <w:rFonts w:hint="default" w:ascii="宋体" w:hAnsi="Times New Roman" w:eastAsia="宋体" w:cs="Times New Roman"/>
          <w:sz w:val="21"/>
          <w:lang w:val="en-US" w:eastAsia="zh-CN" w:bidi="ar-SA"/>
        </w:rPr>
        <w:t>抽样规则</w:t>
      </w:r>
      <w:r>
        <w:rPr>
          <w:rFonts w:hint="eastAsia" w:ascii="宋体" w:hAnsi="Times New Roman" w:eastAsia="宋体" w:cs="Times New Roman"/>
          <w:sz w:val="21"/>
          <w:lang w:val="en-US" w:eastAsia="zh-CN" w:bidi="ar-SA"/>
        </w:rPr>
        <w:t>应符合GB/T 2828.1的规定。</w:t>
      </w:r>
    </w:p>
    <w:p w14:paraId="43EDDCA5">
      <w:pPr>
        <w:keepNext w:val="0"/>
        <w:keepLines w:val="0"/>
        <w:pageBreakBefore w:val="0"/>
        <w:kinsoku/>
        <w:wordWrap/>
        <w:overflowPunct/>
        <w:topLinePunct w:val="0"/>
        <w:autoSpaceDE w:val="0"/>
        <w:autoSpaceDN w:val="0"/>
        <w:bidi w:val="0"/>
        <w:snapToGrid/>
        <w:spacing w:line="240" w:lineRule="auto"/>
        <w:ind w:firstLine="0" w:firstLineChars="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8.3.4 判定规则及处理措施</w:t>
      </w:r>
    </w:p>
    <w:p w14:paraId="32FAFC3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所有检验项目均满足本文件的技术要求时，判定为合格；任一项不符合规定时，判定为不合格；对于不合格的产品，应进行返工或报废处理，返工产品应重新进行检验。</w:t>
      </w:r>
    </w:p>
    <w:bookmarkEnd w:id="118"/>
    <w:bookmarkEnd w:id="119"/>
    <w:p w14:paraId="006CC82D">
      <w:pPr>
        <w:numPr>
          <w:ilvl w:val="2"/>
          <w:numId w:val="2"/>
        </w:numPr>
        <w:spacing w:before="120" w:beforeLines="50" w:after="120" w:afterLines="50"/>
        <w:ind w:left="0" w:firstLine="0"/>
        <w:jc w:val="both"/>
        <w:outlineLvl w:val="1"/>
        <w:rPr>
          <w:rFonts w:hint="eastAsia" w:ascii="黑体" w:hAnsi="黑体" w:eastAsia="黑体" w:cs="Times New Roman"/>
          <w:b w:val="0"/>
          <w:bCs w:val="0"/>
          <w:sz w:val="21"/>
          <w:lang w:val="en-US" w:eastAsia="zh-CN" w:bidi="ar-SA"/>
        </w:rPr>
      </w:pPr>
      <w:bookmarkStart w:id="120" w:name="_Toc11482"/>
      <w:bookmarkStart w:id="121" w:name="_Toc307"/>
      <w:bookmarkStart w:id="122" w:name="_Toc2234"/>
      <w:bookmarkStart w:id="123" w:name="_Toc4365"/>
      <w:bookmarkStart w:id="124" w:name="_Toc14593"/>
      <w:bookmarkStart w:id="125" w:name="_Toc7470"/>
      <w:bookmarkStart w:id="126" w:name="_Toc28912"/>
      <w:bookmarkStart w:id="127" w:name="_Toc11232"/>
      <w:bookmarkStart w:id="128" w:name="_Toc25505"/>
      <w:r>
        <w:rPr>
          <w:rFonts w:hint="eastAsia" w:ascii="黑体" w:hAnsi="黑体" w:eastAsia="黑体" w:cs="Times New Roman"/>
          <w:b w:val="0"/>
          <w:bCs w:val="0"/>
          <w:sz w:val="21"/>
          <w:lang w:val="en-US" w:eastAsia="zh-CN" w:bidi="ar-SA"/>
        </w:rPr>
        <w:t>检验报告</w:t>
      </w:r>
      <w:bookmarkEnd w:id="120"/>
      <w:bookmarkEnd w:id="121"/>
      <w:bookmarkEnd w:id="122"/>
      <w:bookmarkEnd w:id="123"/>
      <w:bookmarkEnd w:id="124"/>
      <w:bookmarkEnd w:id="125"/>
      <w:bookmarkEnd w:id="126"/>
      <w:bookmarkEnd w:id="127"/>
      <w:bookmarkEnd w:id="128"/>
    </w:p>
    <w:p w14:paraId="76112C8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所有检验记录和报告应妥善存档，每次检验结束后应出具完整的检验报告，并包括下列内容：</w:t>
      </w:r>
    </w:p>
    <w:p w14:paraId="543030E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a）基本信息：产品名称、型号规格、生产批次、检验日期、检验机构和参与人员等；</w:t>
      </w:r>
    </w:p>
    <w:p w14:paraId="0F1F57C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b）检验目的与检验依据；</w:t>
      </w:r>
    </w:p>
    <w:p w14:paraId="1776478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c）检验环境与检验设备清单等；</w:t>
      </w:r>
    </w:p>
    <w:p w14:paraId="6A958AD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d）检验方法与检验过程；</w:t>
      </w:r>
    </w:p>
    <w:p w14:paraId="3BE887B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e）检验数据：详细列出各项目的检测数据；</w:t>
      </w:r>
    </w:p>
    <w:p w14:paraId="5CBA0AE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eastAsia="宋体" w:cs="Times New Roman"/>
          <w:lang w:val="en-US" w:eastAsia="zh-CN"/>
        </w:rPr>
      </w:pPr>
      <w:r>
        <w:rPr>
          <w:rFonts w:hint="eastAsia" w:ascii="宋体" w:hAnsi="Times New Roman" w:eastAsia="宋体" w:cs="Times New Roman"/>
          <w:sz w:val="21"/>
          <w:lang w:val="en-US" w:eastAsia="zh-CN" w:bidi="ar-SA"/>
        </w:rPr>
        <w:t>f）检验结论：评估该批次产品是否合格。</w:t>
      </w:r>
    </w:p>
    <w:p w14:paraId="0488DF48">
      <w:pPr>
        <w:numPr>
          <w:ilvl w:val="1"/>
          <w:numId w:val="2"/>
        </w:numPr>
        <w:spacing w:before="240" w:beforeLines="100" w:after="240" w:afterLines="100"/>
        <w:ind w:left="0" w:firstLine="0"/>
        <w:jc w:val="both"/>
        <w:outlineLvl w:val="0"/>
        <w:rPr>
          <w:rFonts w:hint="eastAsia" w:ascii="黑体" w:hAnsi="Times New Roman" w:eastAsia="黑体" w:cs="Times New Roman"/>
          <w:sz w:val="21"/>
          <w:lang w:val="en-US" w:eastAsia="zh-CN" w:bidi="ar-SA"/>
        </w:rPr>
      </w:pPr>
      <w:bookmarkStart w:id="129" w:name="_Toc11125"/>
      <w:bookmarkStart w:id="130" w:name="_Toc30234"/>
      <w:r>
        <w:rPr>
          <w:rFonts w:hint="eastAsia" w:ascii="黑体" w:hAnsi="Times New Roman" w:eastAsia="黑体" w:cs="Times New Roman"/>
          <w:sz w:val="21"/>
          <w:lang w:val="en-US" w:eastAsia="zh-CN" w:bidi="ar-SA"/>
        </w:rPr>
        <w:t>标志、包装、运输和贮存</w:t>
      </w:r>
      <w:bookmarkEnd w:id="129"/>
      <w:bookmarkEnd w:id="130"/>
    </w:p>
    <w:p w14:paraId="7F711ED6">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31" w:name="_Toc820"/>
      <w:bookmarkStart w:id="132" w:name="_Toc20796"/>
      <w:bookmarkStart w:id="133" w:name="_Toc4818"/>
      <w:bookmarkStart w:id="134" w:name="_Toc5427"/>
      <w:bookmarkStart w:id="135" w:name="_Toc13108"/>
      <w:r>
        <w:rPr>
          <w:rFonts w:hint="eastAsia" w:ascii="黑体" w:hAnsi="黑体" w:eastAsia="黑体" w:cs="Times New Roman"/>
          <w:sz w:val="21"/>
          <w:lang w:val="en-US" w:eastAsia="zh-CN" w:bidi="ar-SA"/>
        </w:rPr>
        <w:t>标志</w:t>
      </w:r>
      <w:bookmarkEnd w:id="131"/>
      <w:bookmarkEnd w:id="132"/>
      <w:bookmarkEnd w:id="133"/>
      <w:bookmarkEnd w:id="134"/>
    </w:p>
    <w:p w14:paraId="31B9017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标志应满足下列要求：</w:t>
      </w:r>
    </w:p>
    <w:p w14:paraId="5B9F2BBC">
      <w:pPr>
        <w:keepNext w:val="0"/>
        <w:keepLines w:val="0"/>
        <w:pageBreakBefore w:val="0"/>
        <w:widowControl w:val="0"/>
        <w:numPr>
          <w:ilvl w:val="0"/>
          <w:numId w:val="32"/>
        </w:numPr>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所有标志应清晰、耐磨，符合GB/T 191的相关规定；</w:t>
      </w:r>
    </w:p>
    <w:p w14:paraId="0C7CDE44">
      <w:pPr>
        <w:keepNext w:val="0"/>
        <w:keepLines w:val="0"/>
        <w:pageBreakBefore w:val="0"/>
        <w:widowControl w:val="0"/>
        <w:numPr>
          <w:ilvl w:val="0"/>
          <w:numId w:val="32"/>
        </w:numPr>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标志内容应至少包括：产品名称、型号规格、功能代号、执行标准、生产单位名称、产品使用年限、报废提示、安全警示说明。</w:t>
      </w:r>
    </w:p>
    <w:p w14:paraId="045DC0DD">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36" w:name="_Toc13776"/>
      <w:bookmarkStart w:id="137" w:name="_Toc6176"/>
      <w:bookmarkStart w:id="138" w:name="_Toc18243"/>
      <w:bookmarkStart w:id="139" w:name="_Toc1651"/>
      <w:r>
        <w:rPr>
          <w:rFonts w:hint="eastAsia" w:ascii="黑体" w:hAnsi="黑体" w:eastAsia="黑体" w:cs="Times New Roman"/>
          <w:sz w:val="21"/>
          <w:lang w:val="en-US" w:eastAsia="zh-CN" w:bidi="ar-SA"/>
        </w:rPr>
        <w:t>包装</w:t>
      </w:r>
      <w:bookmarkEnd w:id="136"/>
      <w:bookmarkEnd w:id="137"/>
      <w:bookmarkEnd w:id="138"/>
      <w:bookmarkEnd w:id="139"/>
    </w:p>
    <w:p w14:paraId="1BBC918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包装应满足下列要求：</w:t>
      </w:r>
    </w:p>
    <w:p w14:paraId="69F2B9E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a）单件产品采用防水防尘柔性材料独立封装，隔绝灰尘、水汽，避免带体磨损、霉变、老化；</w:t>
      </w:r>
    </w:p>
    <w:p w14:paraId="2C2817E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b）外包装应采用防潮、防震、防尘材料，确保产品在运输和存储过程中不受损；</w:t>
      </w:r>
    </w:p>
    <w:p w14:paraId="70907BC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c）包装箱外应标明产品的名称、规格、数量、净重及运输标志；</w:t>
      </w:r>
    </w:p>
    <w:p w14:paraId="71EA3DC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d）每箱附产品合格证、说明书。</w:t>
      </w:r>
    </w:p>
    <w:p w14:paraId="425151D0">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40" w:name="_Toc21381"/>
      <w:bookmarkStart w:id="141" w:name="_Toc88"/>
      <w:bookmarkStart w:id="142" w:name="_Toc31704"/>
      <w:bookmarkStart w:id="143" w:name="_Toc8872"/>
      <w:r>
        <w:rPr>
          <w:rFonts w:hint="eastAsia" w:ascii="黑体" w:hAnsi="黑体" w:eastAsia="黑体" w:cs="Times New Roman"/>
          <w:sz w:val="21"/>
          <w:lang w:val="en-US" w:eastAsia="zh-CN" w:bidi="ar-SA"/>
        </w:rPr>
        <w:t>运输</w:t>
      </w:r>
      <w:bookmarkEnd w:id="140"/>
      <w:bookmarkEnd w:id="141"/>
      <w:bookmarkEnd w:id="142"/>
      <w:bookmarkEnd w:id="143"/>
    </w:p>
    <w:p w14:paraId="44BC73E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运输应满足下列要求：</w:t>
      </w:r>
    </w:p>
    <w:p w14:paraId="24631D0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a）产品在运输过程中应防潮、防雨淋、防暴晒，避免与酸碱、油污、腐蚀性化学品、高温热源、尖锐硬物混装运输；</w:t>
      </w:r>
    </w:p>
    <w:p w14:paraId="34B4AB7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b）运输过程中应轻拿轻放，避免包装破损；</w:t>
      </w:r>
    </w:p>
    <w:p w14:paraId="53EB67B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c）运输车辆应具有良好密封性，保持车厢干燥清洁。</w:t>
      </w:r>
    </w:p>
    <w:p w14:paraId="3D25F92B">
      <w:pPr>
        <w:numPr>
          <w:ilvl w:val="2"/>
          <w:numId w:val="2"/>
        </w:numPr>
        <w:spacing w:before="120" w:beforeLines="50" w:after="120" w:afterLines="50"/>
        <w:ind w:left="0" w:firstLine="0"/>
        <w:jc w:val="both"/>
        <w:outlineLvl w:val="1"/>
        <w:rPr>
          <w:rFonts w:ascii="黑体" w:hAnsi="黑体" w:eastAsia="黑体" w:cs="Times New Roman"/>
          <w:sz w:val="21"/>
          <w:lang w:val="en-US" w:eastAsia="zh-CN" w:bidi="ar-SA"/>
        </w:rPr>
      </w:pPr>
      <w:bookmarkStart w:id="144" w:name="_Toc3432"/>
      <w:bookmarkStart w:id="145" w:name="_Toc13931"/>
      <w:bookmarkStart w:id="146" w:name="_Toc17369"/>
      <w:bookmarkStart w:id="147" w:name="_Toc363"/>
      <w:r>
        <w:rPr>
          <w:rFonts w:hint="eastAsia" w:ascii="黑体" w:hAnsi="黑体" w:eastAsia="黑体" w:cs="Times New Roman"/>
          <w:sz w:val="21"/>
          <w:lang w:val="en-US" w:eastAsia="zh-CN" w:bidi="ar-SA"/>
        </w:rPr>
        <w:t>贮存</w:t>
      </w:r>
      <w:bookmarkEnd w:id="144"/>
      <w:bookmarkEnd w:id="145"/>
      <w:bookmarkEnd w:id="146"/>
      <w:bookmarkEnd w:id="147"/>
    </w:p>
    <w:p w14:paraId="74D4BC7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贮存应满足下列要求：</w:t>
      </w:r>
    </w:p>
    <w:p w14:paraId="277FDC3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a）产品应贮存于阴凉干燥、通风洁净的库房中，贮存温度宜为-10℃～45℃，相对湿度不大于75%，远离热源、明火、腐蚀性介质，严禁与有毒、有害、腐蚀类物品混存；</w:t>
      </w:r>
    </w:p>
    <w:p w14:paraId="346CDB6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b）产品应离地、离墙存放，堆叠高度不超过1.5m，避免挤压破损，防止带体变形、内部结构损伤；</w:t>
      </w:r>
    </w:p>
    <w:p w14:paraId="51B0D30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ascii="宋体" w:hAnsi="Times New Roman" w:eastAsia="宋体" w:cs="Times New Roman"/>
          <w:sz w:val="21"/>
          <w:lang w:val="en-US" w:eastAsia="zh-CN" w:bidi="ar-SA"/>
        </w:rPr>
      </w:pPr>
      <w:r>
        <w:rPr>
          <w:rFonts w:hint="eastAsia" w:ascii="宋体" w:hAnsi="Times New Roman" w:eastAsia="宋体" w:cs="Times New Roman"/>
          <w:sz w:val="21"/>
          <w:lang w:val="en-US" w:eastAsia="zh-CN" w:bidi="ar-SA"/>
        </w:rPr>
        <w:t>c）库房定期巡检，及时清理霉变、破损、老化产品；未开封产品按规范条件贮存，严禁长期暴晒、潮湿堆放，超期产品需复检合格后方可使用</w:t>
      </w:r>
      <w:r>
        <w:rPr>
          <w:rFonts w:hint="eastAsia" w:ascii="宋体" w:hAnsi="Times New Roman" w:cs="Times New Roman"/>
          <w:sz w:val="21"/>
          <w:lang w:val="en-US" w:eastAsia="zh-CN" w:bidi="ar-SA"/>
        </w:rPr>
        <w:t>。</w:t>
      </w:r>
    </w:p>
    <w:bookmarkEnd w:id="135"/>
    <w:p w14:paraId="306A1055">
      <w:pPr>
        <w:pStyle w:val="63"/>
        <w:ind w:left="0" w:leftChars="0" w:firstLine="0" w:firstLineChars="0"/>
      </w:pPr>
    </w:p>
    <w:p w14:paraId="0CC8D763">
      <w:pPr>
        <w:pStyle w:val="63"/>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041ABEBC">
      <w:pPr>
        <w:pStyle w:val="63"/>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eastAsia"/>
          <w:lang w:val="en-US" w:eastAsia="zh-CN"/>
        </w:rPr>
      </w:pPr>
    </w:p>
    <w:p w14:paraId="68175F5B">
      <w:pPr>
        <w:pStyle w:val="63"/>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lang w:val="en-US" w:eastAsia="zh-CN"/>
        </w:rPr>
      </w:pPr>
    </w:p>
    <w:p w14:paraId="5EFE3FE7">
      <w:pPr>
        <w:keepNext w:val="0"/>
        <w:keepLines w:val="0"/>
        <w:pageBreakBefore w:val="0"/>
        <w:kinsoku/>
        <w:wordWrap/>
        <w:overflowPunct/>
        <w:topLinePunct w:val="0"/>
        <w:bidi w:val="0"/>
        <w:snapToGrid/>
        <w:spacing w:before="58" w:line="45" w:lineRule="exact"/>
        <w:ind w:left="3165"/>
        <w:textAlignment w:val="auto"/>
        <w:outlineLvl w:val="9"/>
        <w:rPr>
          <w:rFonts w:hint="default" w:ascii="Times New Roman" w:hAnsi="Times New Roman" w:eastAsia="Times New Roman"/>
          <w:sz w:val="20"/>
          <w:szCs w:val="20"/>
          <w:lang w:val="en-US" w:eastAsia="zh-CN"/>
        </w:rPr>
      </w:pPr>
      <w:bookmarkStart w:id="148" w:name="_Toc25614"/>
      <w:bookmarkStart w:id="149" w:name="_Toc215"/>
      <w:bookmarkStart w:id="150" w:name="_Toc10181"/>
      <w:bookmarkStart w:id="151" w:name="_Toc16819"/>
      <w:r>
        <w:rPr>
          <w:rFonts w:ascii="Times New Roman" w:hAnsi="Times New Roman" w:eastAsia="Times New Roman"/>
          <w:b/>
          <w:bCs/>
          <w:spacing w:val="9"/>
          <w:position w:val="5"/>
          <w:sz w:val="20"/>
          <w:szCs w:val="20"/>
        </w:rPr>
        <w:t>_</w:t>
      </w:r>
      <w:r>
        <w:rPr>
          <w:rFonts w:ascii="Times New Roman" w:hAnsi="Times New Roman" w:eastAsia="Times New Roman"/>
          <w:b/>
          <w:bCs/>
          <w:spacing w:val="5"/>
          <w:position w:val="5"/>
          <w:sz w:val="20"/>
          <w:szCs w:val="20"/>
        </w:rPr>
        <w:t>______________________________</w:t>
      </w:r>
      <w:bookmarkEnd w:id="148"/>
      <w:bookmarkEnd w:id="149"/>
      <w:bookmarkEnd w:id="150"/>
      <w:bookmarkEnd w:id="151"/>
    </w:p>
    <w:sectPr>
      <w:footerReference r:id="rId11" w:type="default"/>
      <w:pgSz w:w="11906" w:h="16838"/>
      <w:pgMar w:top="1928" w:right="1134" w:bottom="1134" w:left="1134" w:header="1418" w:footer="1134" w:gutter="284"/>
      <w:pgNumType w:start="1"/>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C6DA57-0D02-4833-A0B2-15433ADF5FFE}"/>
  </w:font>
  <w:font w:name="Arial">
    <w:panose1 w:val="020B0604020202020204"/>
    <w:charset w:val="01"/>
    <w:family w:val="swiss"/>
    <w:pitch w:val="default"/>
    <w:sig w:usb0="E0002EFF" w:usb1="C000785B" w:usb2="00000009" w:usb3="00000000" w:csb0="400001FF" w:csb1="FFFF0000"/>
    <w:embedRegular r:id="rId2" w:fontKey="{6F0568EE-7560-4627-A419-3BE3492CCF6C}"/>
  </w:font>
  <w:font w:name="黑体">
    <w:panose1 w:val="02010609060101010101"/>
    <w:charset w:val="86"/>
    <w:family w:val="auto"/>
    <w:pitch w:val="default"/>
    <w:sig w:usb0="800002BF" w:usb1="38CF7CFA" w:usb2="00000016" w:usb3="00000000" w:csb0="00040001" w:csb1="00000000"/>
    <w:embedRegular r:id="rId3" w:fontKey="{C07A906E-3E10-4957-9C56-32A6E29CCECA}"/>
  </w:font>
  <w:font w:name="Courier New">
    <w:panose1 w:val="02070309020205020404"/>
    <w:charset w:val="01"/>
    <w:family w:val="modern"/>
    <w:pitch w:val="default"/>
    <w:sig w:usb0="E0002EFF" w:usb1="C0007843" w:usb2="00000009" w:usb3="00000000" w:csb0="400001FF" w:csb1="FFFF0000"/>
    <w:embedRegular r:id="rId4" w:fontKey="{9F70306D-C512-40E0-BF9F-45417FBBA70C}"/>
  </w:font>
  <w:font w:name="Symbol">
    <w:panose1 w:val="05050102010706020507"/>
    <w:charset w:val="02"/>
    <w:family w:val="roman"/>
    <w:pitch w:val="default"/>
    <w:sig w:usb0="00000000" w:usb1="00000000" w:usb2="00000000" w:usb3="00000000" w:csb0="80000000" w:csb1="00000000"/>
    <w:embedRegular r:id="rId5" w:fontKey="{932CD8CB-D0BD-47FE-A2AC-B62EF9DDC7D8}"/>
  </w:font>
  <w:font w:name="Calibri">
    <w:panose1 w:val="020F0502020204030204"/>
    <w:charset w:val="00"/>
    <w:family w:val="swiss"/>
    <w:pitch w:val="default"/>
    <w:sig w:usb0="E4002EFF" w:usb1="C000247B" w:usb2="00000009" w:usb3="00000000" w:csb0="200001FF" w:csb1="00000000"/>
    <w:embedRegular r:id="rId6" w:fontKey="{A6BF4C95-E3F8-4D4A-B9A3-3B4F564247CE}"/>
  </w:font>
  <w:font w:name="等线">
    <w:panose1 w:val="02010600030101010101"/>
    <w:charset w:val="86"/>
    <w:family w:val="auto"/>
    <w:pitch w:val="default"/>
    <w:sig w:usb0="A00002BF" w:usb1="38CF7CFA" w:usb2="00000016" w:usb3="00000000" w:csb0="0004000F" w:csb1="00000000"/>
    <w:embedRegular r:id="rId7" w:fontKey="{DB9D6FD9-4F83-45CC-A5E1-145900D88CC0}"/>
  </w:font>
  <w:font w:name="等线 Light">
    <w:panose1 w:val="02010600030101010101"/>
    <w:charset w:val="86"/>
    <w:family w:val="auto"/>
    <w:pitch w:val="default"/>
    <w:sig w:usb0="A00002BF" w:usb1="38CF7CFA" w:usb2="00000016" w:usb3="00000000" w:csb0="0004000F" w:csb1="00000000"/>
  </w:font>
  <w:font w:name="隶属">
    <w:altName w:val="宋体"/>
    <w:panose1 w:val="00000000000000000000"/>
    <w:charset w:val="00"/>
    <w:family w:val="auto"/>
    <w:pitch w:val="default"/>
    <w:sig w:usb0="00000000" w:usb1="00000000" w:usb2="00000000" w:usb3="00000000" w:csb0="00040001" w:csb1="00000000"/>
    <w:embedRegular r:id="rId8" w:fontKey="{03F99EB3-2353-444C-B6BF-CD12870818BE}"/>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B1956F32-3D47-4692-A418-FF61035FAB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E2E08">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等线" w:hAnsi="等线" w:eastAsia="等线" w:cs="Times New Roman"/>
        <w:kern w:val="2"/>
        <w:sz w:val="21"/>
        <w:szCs w:val="22"/>
        <w:lang w:val="en-US" w:eastAsia="zh-CN" w:bidi="ar-SA"/>
      </w:rPr>
      <w:id w:val="-548138633"/>
      <w:docPartObj>
        <w:docPartGallery w:val="autotext"/>
      </w:docPartObj>
    </w:sdtPr>
    <w:sdtEndPr>
      <w:rPr>
        <w:rFonts w:ascii="等线" w:hAnsi="等线" w:eastAsia="等线" w:cs="Times New Roman"/>
        <w:kern w:val="2"/>
        <w:sz w:val="18"/>
        <w:szCs w:val="18"/>
        <w:lang w:val="en-US" w:eastAsia="zh-CN" w:bidi="ar-SA"/>
      </w:rPr>
    </w:sdtEndPr>
    <w:sdtContent>
      <w:p w14:paraId="21E1B7DD">
        <w:pPr>
          <w:framePr w:wrap="auto" w:vAnchor="text" w:hAnchor="margin" w:xAlign="center" w:y="1"/>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rFonts w:ascii="宋体" w:hAnsi="Times New Roman" w:eastAsia="宋体" w:cs="宋体"/>
            <w:kern w:val="2"/>
            <w:sz w:val="18"/>
            <w:szCs w:val="18"/>
            <w:lang w:val="en-US" w:eastAsia="zh-CN" w:bidi="ar-SA"/>
          </w:rPr>
          <w:fldChar w:fldCharType="begin"/>
        </w:r>
        <w:r>
          <w:rPr>
            <w:rFonts w:ascii="宋体" w:hAnsi="Times New Roman" w:eastAsia="宋体" w:cs="宋体"/>
            <w:kern w:val="2"/>
            <w:sz w:val="18"/>
            <w:szCs w:val="18"/>
            <w:lang w:val="en-US" w:eastAsia="zh-CN" w:bidi="ar-SA"/>
          </w:rPr>
          <w:instrText xml:space="preserve"> PAGE </w:instrText>
        </w:r>
        <w:r>
          <w:rPr>
            <w:rFonts w:ascii="宋体" w:hAnsi="Times New Roman" w:eastAsia="宋体" w:cs="宋体"/>
            <w:kern w:val="2"/>
            <w:sz w:val="18"/>
            <w:szCs w:val="18"/>
            <w:lang w:val="en-US" w:eastAsia="zh-CN" w:bidi="ar-SA"/>
          </w:rPr>
          <w:fldChar w:fldCharType="end"/>
        </w:r>
      </w:p>
    </w:sdtContent>
  </w:sdt>
  <w:p w14:paraId="4A321105">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5E298">
    <w:pPr>
      <w:widowControl w:val="0"/>
      <w:tabs>
        <w:tab w:val="center" w:pos="4153"/>
        <w:tab w:val="right" w:pos="8306"/>
      </w:tabs>
      <w:snapToGrid w:val="0"/>
      <w:jc w:val="left"/>
      <w:rPr>
        <w:rFonts w:ascii="等线" w:hAnsi="等线" w:eastAsia="等线" w:cs="Times New Roman"/>
        <w:kern w:val="2"/>
        <w:sz w:val="18"/>
        <w:szCs w:val="18"/>
        <w:lang w:val="en-US" w:eastAsia="zh-CN" w:bidi="ar-SA"/>
      </w:rPr>
    </w:pPr>
    <w:sdt>
      <w:sdtPr>
        <w:rPr>
          <w:rFonts w:ascii="等线" w:hAnsi="等线" w:eastAsia="等线" w:cs="Times New Roman"/>
          <w:kern w:val="2"/>
          <w:sz w:val="21"/>
          <w:szCs w:val="22"/>
          <w:lang w:val="en-US" w:eastAsia="zh-CN" w:bidi="ar-SA"/>
        </w:rPr>
        <w:id w:val="1458601550"/>
        <w:docPartObj>
          <w:docPartGallery w:val="autotext"/>
        </w:docPartObj>
      </w:sdtPr>
      <w:sdtEndPr>
        <w:rPr>
          <w:rFonts w:ascii="等线" w:hAnsi="等线" w:eastAsia="等线" w:cs="Times New Roman"/>
          <w:kern w:val="2"/>
          <w:sz w:val="18"/>
          <w:szCs w:val="18"/>
          <w:lang w:val="en-US" w:eastAsia="zh-CN" w:bidi="ar-SA"/>
        </w:rPr>
      </w:sdtEndP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29A7B">
    <w:pPr>
      <w:pStyle w:val="59"/>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4030C">
                          <w:pPr>
                            <w:pStyle w:val="59"/>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864030C">
                    <w:pPr>
                      <w:pStyle w:val="59"/>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0D0C">
    <w:pPr>
      <w:pStyle w:val="59"/>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8BCAF">
                          <w:pPr>
                            <w:pStyle w:val="59"/>
                          </w:pPr>
                          <w:r>
                            <w:fldChar w:fldCharType="begin"/>
                          </w:r>
                          <w:r>
                            <w:instrText xml:space="preserve">PAGE   \* MERGEFORMAT</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338BCAF">
                    <w:pPr>
                      <w:pStyle w:val="59"/>
                    </w:pPr>
                    <w:r>
                      <w:fldChar w:fldCharType="begin"/>
                    </w:r>
                    <w:r>
                      <w:instrText xml:space="preserve">PAGE   \* MERGEFORMAT</w:instrText>
                    </w:r>
                    <w:r>
                      <w:fldChar w:fldCharType="separate"/>
                    </w:r>
                    <w:r>
                      <w:rPr>
                        <w:lang w:val="zh-CN"/>
                      </w:rP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D29DD">
    <w:pPr>
      <w:pStyle w:val="68"/>
      <w:wordWrap w:val="0"/>
      <w:rPr>
        <w:rFonts w:hint="default" w:eastAsia="黑体"/>
        <w:lang w:val="en-US" w:eastAsia="zh-CN"/>
      </w:rPr>
    </w:pPr>
    <w:r>
      <w:rPr>
        <w:rFonts w:hint="eastAsia"/>
        <w:lang w:val="en-US" w:eastAsia="zh-CN"/>
      </w:rPr>
      <w:t>T/CI 351-2024</w:t>
    </w:r>
  </w:p>
  <w:p w14:paraId="5C843251">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B8EF4">
    <w:pPr>
      <w:pStyle w:val="21"/>
      <w:jc w:val="right"/>
      <w:rPr>
        <w:rFonts w:hint="eastAsia" w:eastAsia="宋体"/>
        <w:lang w:val="en-US" w:eastAsia="zh-CN"/>
      </w:rPr>
    </w:pPr>
    <w:r>
      <w:rPr>
        <w:rFonts w:hint="eastAsia" w:ascii="黑体" w:hAnsi="黑体" w:eastAsia="黑体" w:cs="黑体"/>
        <w:sz w:val="21"/>
        <w:szCs w:val="21"/>
      </w:rPr>
      <w:t>T/CWDPA XXX—202</w:t>
    </w:r>
    <w:r>
      <w:rPr>
        <w:rFonts w:hint="eastAsia" w:ascii="黑体" w:hAnsi="黑体" w:eastAsia="黑体" w:cs="黑体"/>
        <w:sz w:val="21"/>
        <w:szCs w:val="21"/>
        <w:lang w:val="en-US" w:eastAsia="zh-CN"/>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3FBA"/>
    <w:multiLevelType w:val="multilevel"/>
    <w:tmpl w:val="AE653FBA"/>
    <w:lvl w:ilvl="0" w:tentative="0">
      <w:start w:val="1"/>
      <w:numFmt w:val="upperLetter"/>
      <w:pStyle w:val="205"/>
      <w:lvlText w:val="%1"/>
      <w:lvlJc w:val="left"/>
      <w:pPr>
        <w:ind w:left="420" w:hanging="420"/>
      </w:pPr>
      <w:rPr>
        <w:rFonts w:hint="eastAsia"/>
      </w:rPr>
    </w:lvl>
    <w:lvl w:ilvl="1" w:tentative="0">
      <w:start w:val="1"/>
      <w:numFmt w:val="decimal"/>
      <w:pStyle w:val="90"/>
      <w:suff w:val="space"/>
      <w:lvlText w:val="图%1.%2　"/>
      <w:lvlJc w:val="center"/>
      <w:pPr>
        <w:tabs>
          <w:tab w:val="left" w:pos="0"/>
        </w:tabs>
        <w:ind w:left="0" w:firstLine="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DC53E9"/>
    <w:multiLevelType w:val="singleLevel"/>
    <w:tmpl w:val="F8DC53E9"/>
    <w:lvl w:ilvl="0" w:tentative="0">
      <w:start w:val="1"/>
      <w:numFmt w:val="lowerLetter"/>
      <w:suff w:val="nothing"/>
      <w:lvlText w:val="%1）"/>
      <w:lvlJc w:val="left"/>
    </w:lvl>
  </w:abstractNum>
  <w:abstractNum w:abstractNumId="2">
    <w:nsid w:val="02837933"/>
    <w:multiLevelType w:val="multilevel"/>
    <w:tmpl w:val="02837933"/>
    <w:lvl w:ilvl="0" w:tentative="0">
      <w:start w:val="1"/>
      <w:numFmt w:val="decimal"/>
      <w:pStyle w:val="71"/>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6"/>
      <w:suff w:val="nothing"/>
      <w:lvlText w:val="%1%2.%3　"/>
      <w:lvlJc w:val="left"/>
      <w:pPr>
        <w:ind w:left="0" w:firstLine="0"/>
      </w:pPr>
    </w:lvl>
    <w:lvl w:ilvl="3" w:tentative="0">
      <w:start w:val="1"/>
      <w:numFmt w:val="decimal"/>
      <w:pStyle w:val="125"/>
      <w:suff w:val="nothing"/>
      <w:lvlText w:val="%1%2.%3.%4　"/>
      <w:lvlJc w:val="left"/>
      <w:pPr>
        <w:ind w:left="0" w:firstLine="0"/>
      </w:pPr>
    </w:lvl>
    <w:lvl w:ilvl="4" w:tentative="0">
      <w:start w:val="1"/>
      <w:numFmt w:val="decimal"/>
      <w:pStyle w:val="160"/>
      <w:suff w:val="nothing"/>
      <w:lvlText w:val="%1%2.%3.%4.%5　"/>
      <w:lvlJc w:val="left"/>
      <w:pPr>
        <w:ind w:left="0" w:firstLine="0"/>
      </w:pPr>
    </w:lvl>
    <w:lvl w:ilvl="5" w:tentative="0">
      <w:start w:val="1"/>
      <w:numFmt w:val="decimal"/>
      <w:pStyle w:val="162"/>
      <w:suff w:val="nothing"/>
      <w:lvlText w:val="%1%2.%3.%4.%5.%6　"/>
      <w:lvlJc w:val="left"/>
      <w:pPr>
        <w:ind w:left="0" w:firstLine="0"/>
      </w:pPr>
    </w:lvl>
    <w:lvl w:ilvl="6" w:tentative="0">
      <w:start w:val="1"/>
      <w:numFmt w:val="decimal"/>
      <w:pStyle w:val="165"/>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7"/>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6"/>
      <w:lvlText w:val="%1"/>
      <w:lvlJc w:val="left"/>
      <w:pPr>
        <w:ind w:left="425" w:hanging="425"/>
      </w:pPr>
      <w:rPr>
        <w:rFonts w:hint="eastAsia"/>
      </w:rPr>
    </w:lvl>
    <w:lvl w:ilvl="1" w:tentative="0">
      <w:start w:val="1"/>
      <w:numFmt w:val="decimal"/>
      <w:pStyle w:val="207"/>
      <w:suff w:val="nothing"/>
      <w:lvlText w:val="%10.%2 "/>
      <w:lvlJc w:val="left"/>
      <w:pPr>
        <w:ind w:left="0" w:firstLine="0"/>
      </w:pPr>
      <w:rPr>
        <w:rFonts w:hint="eastAsia" w:ascii="黑体" w:eastAsia="黑体" w:hAnsiTheme="minorHAnsi"/>
        <w:b w:val="0"/>
        <w:i w:val="0"/>
        <w:sz w:val="21"/>
      </w:rPr>
    </w:lvl>
    <w:lvl w:ilvl="2" w:tentative="0">
      <w:start w:val="1"/>
      <w:numFmt w:val="decimal"/>
      <w:pStyle w:val="208"/>
      <w:suff w:val="nothing"/>
      <w:lvlText w:val="%10.%2.%3 "/>
      <w:lvlJc w:val="left"/>
      <w:pPr>
        <w:ind w:left="0" w:firstLine="0"/>
      </w:pPr>
      <w:rPr>
        <w:rFonts w:hint="eastAsia" w:ascii="黑体" w:eastAsia="黑体" w:hAnsiTheme="minorHAnsi"/>
        <w:b w:val="0"/>
        <w:i w:val="0"/>
        <w:sz w:val="21"/>
      </w:rPr>
    </w:lvl>
    <w:lvl w:ilvl="3" w:tentative="0">
      <w:start w:val="1"/>
      <w:numFmt w:val="decimal"/>
      <w:pStyle w:val="209"/>
      <w:suff w:val="nothing"/>
      <w:lvlText w:val="%10.%2.%3.%4 "/>
      <w:lvlJc w:val="left"/>
      <w:pPr>
        <w:ind w:left="0" w:firstLine="0"/>
      </w:pPr>
      <w:rPr>
        <w:rFonts w:hint="eastAsia" w:ascii="黑体" w:eastAsia="黑体" w:hAnsiTheme="minorHAnsi"/>
        <w:b w:val="0"/>
        <w:i w:val="0"/>
        <w:sz w:val="21"/>
      </w:rPr>
    </w:lvl>
    <w:lvl w:ilvl="4" w:tentative="0">
      <w:start w:val="1"/>
      <w:numFmt w:val="decimal"/>
      <w:pStyle w:val="210"/>
      <w:suff w:val="nothing"/>
      <w:lvlText w:val="%10.%2.%3.%4.%5 "/>
      <w:lvlJc w:val="left"/>
      <w:pPr>
        <w:ind w:left="0" w:firstLine="0"/>
      </w:pPr>
      <w:rPr>
        <w:rFonts w:hint="eastAsia" w:ascii="黑体" w:eastAsia="黑体" w:hAnsiTheme="minorHAnsi"/>
        <w:b w:val="0"/>
        <w:i w:val="0"/>
        <w:sz w:val="21"/>
      </w:rPr>
    </w:lvl>
    <w:lvl w:ilvl="5" w:tentative="0">
      <w:start w:val="1"/>
      <w:numFmt w:val="decimal"/>
      <w:pStyle w:val="211"/>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8"/>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74"/>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6"/>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1AD20F90"/>
    <w:multiLevelType w:val="multilevel"/>
    <w:tmpl w:val="1AD20F90"/>
    <w:lvl w:ilvl="0" w:tentative="0">
      <w:start w:val="1"/>
      <w:numFmt w:val="none"/>
      <w:pStyle w:val="117"/>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92"/>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EAA1992"/>
    <w:multiLevelType w:val="multilevel"/>
    <w:tmpl w:val="1EAA1992"/>
    <w:lvl w:ilvl="0" w:tentative="0">
      <w:start w:val="1"/>
      <w:numFmt w:val="none"/>
      <w:pStyle w:val="99"/>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2">
    <w:nsid w:val="2C5917C3"/>
    <w:multiLevelType w:val="multilevel"/>
    <w:tmpl w:val="2C5917C3"/>
    <w:lvl w:ilvl="0" w:tentative="0">
      <w:start w:val="1"/>
      <w:numFmt w:val="none"/>
      <w:pStyle w:val="139"/>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4"/>
      <w:lvlText w:val=""/>
      <w:lvlJc w:val="left"/>
      <w:pPr>
        <w:ind w:left="851" w:hanging="431"/>
      </w:pPr>
      <w:rPr>
        <w:rFonts w:hint="default" w:ascii="Symbol" w:hAnsi="Symbol"/>
        <w:sz w:val="21"/>
      </w:rPr>
    </w:lvl>
    <w:lvl w:ilvl="2" w:tentative="0">
      <w:start w:val="1"/>
      <w:numFmt w:val="bullet"/>
      <w:pStyle w:val="179"/>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3">
    <w:nsid w:val="32F04FB2"/>
    <w:multiLevelType w:val="multilevel"/>
    <w:tmpl w:val="32F04FB2"/>
    <w:lvl w:ilvl="0" w:tentative="0">
      <w:start w:val="1"/>
      <w:numFmt w:val="lowerLetter"/>
      <w:pStyle w:val="108"/>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4">
    <w:nsid w:val="44C50F90"/>
    <w:multiLevelType w:val="multilevel"/>
    <w:tmpl w:val="44C50F90"/>
    <w:lvl w:ilvl="0" w:tentative="0">
      <w:start w:val="1"/>
      <w:numFmt w:val="lowerLetter"/>
      <w:pStyle w:val="181"/>
      <w:lvlText w:val="%1)"/>
      <w:lvlJc w:val="left"/>
      <w:pPr>
        <w:tabs>
          <w:tab w:val="left" w:pos="851"/>
        </w:tabs>
        <w:ind w:left="851" w:hanging="426"/>
      </w:pPr>
      <w:rPr>
        <w:rFonts w:hint="eastAsia" w:ascii="宋体" w:hAnsi="Times New Roman" w:eastAsia="宋体"/>
        <w:sz w:val="21"/>
      </w:rPr>
    </w:lvl>
    <w:lvl w:ilvl="1" w:tentative="0">
      <w:start w:val="1"/>
      <w:numFmt w:val="decimal"/>
      <w:pStyle w:val="116"/>
      <w:lvlText w:val="%2)"/>
      <w:lvlJc w:val="left"/>
      <w:pPr>
        <w:tabs>
          <w:tab w:val="left" w:pos="1276"/>
        </w:tabs>
        <w:ind w:left="1276" w:hanging="425"/>
      </w:pPr>
      <w:rPr>
        <w:rFonts w:hint="eastAsia" w:ascii="宋体" w:hAnsi="Times New Roman" w:eastAsia="宋体"/>
        <w:sz w:val="21"/>
      </w:rPr>
    </w:lvl>
    <w:lvl w:ilvl="2" w:tentative="0">
      <w:start w:val="1"/>
      <w:numFmt w:val="decimal"/>
      <w:pStyle w:val="124"/>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B733A5F"/>
    <w:multiLevelType w:val="multilevel"/>
    <w:tmpl w:val="4B733A5F"/>
    <w:lvl w:ilvl="0" w:tentative="0">
      <w:start w:val="1"/>
      <w:numFmt w:val="decimal"/>
      <w:pStyle w:val="190"/>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23"/>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100"/>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21"/>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4D2089"/>
    <w:multiLevelType w:val="multilevel"/>
    <w:tmpl w:val="564D2089"/>
    <w:lvl w:ilvl="0" w:tentative="0">
      <w:start w:val="1"/>
      <w:numFmt w:val="none"/>
      <w:pStyle w:val="118"/>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CCF408A"/>
    <w:multiLevelType w:val="multilevel"/>
    <w:tmpl w:val="5CCF408A"/>
    <w:lvl w:ilvl="0" w:tentative="0">
      <w:start w:val="1"/>
      <w:numFmt w:val="upperLetter"/>
      <w:pStyle w:val="206"/>
      <w:suff w:val="space"/>
      <w:lvlText w:val="%1"/>
      <w:lvlJc w:val="left"/>
      <w:pPr>
        <w:ind w:left="425" w:hanging="425"/>
      </w:pPr>
      <w:rPr>
        <w:rFonts w:hint="eastAsia"/>
      </w:rPr>
    </w:lvl>
    <w:lvl w:ilvl="1" w:tentative="0">
      <w:start w:val="1"/>
      <w:numFmt w:val="decimal"/>
      <w:pStyle w:val="84"/>
      <w:suff w:val="space"/>
      <w:lvlText w:val="表%1.%2　"/>
      <w:lvlJc w:val="center"/>
      <w:pPr>
        <w:tabs>
          <w:tab w:val="left" w:pos="0"/>
        </w:tabs>
        <w:ind w:left="0" w:firstLine="0"/>
      </w:pPr>
      <w:rPr>
        <w:rFonts w:hint="default"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644622F9"/>
    <w:multiLevelType w:val="multilevel"/>
    <w:tmpl w:val="644622F9"/>
    <w:lvl w:ilvl="0" w:tentative="0">
      <w:start w:val="1"/>
      <w:numFmt w:val="upperRoman"/>
      <w:pStyle w:val="175"/>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9"/>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6"/>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83"/>
      <w:suff w:val="nothing"/>
      <w:lvlText w:val="附录%1"/>
      <w:lvlJc w:val="left"/>
      <w:pPr>
        <w:ind w:left="0" w:firstLine="0"/>
      </w:pPr>
      <w:rPr>
        <w:rFonts w:hint="eastAsia"/>
        <w:spacing w:val="100"/>
      </w:rPr>
    </w:lvl>
    <w:lvl w:ilvl="1" w:tentative="0">
      <w:start w:val="1"/>
      <w:numFmt w:val="decimal"/>
      <w:pStyle w:val="85"/>
      <w:suff w:val="nothing"/>
      <w:lvlText w:val="%1.%2　"/>
      <w:lvlJc w:val="left"/>
      <w:pPr>
        <w:ind w:left="0" w:firstLine="0"/>
      </w:pPr>
      <w:rPr>
        <w:rFonts w:hint="eastAsia" w:ascii="黑体" w:eastAsia="黑体"/>
        <w:b w:val="0"/>
        <w:i w:val="0"/>
        <w:sz w:val="21"/>
      </w:rPr>
    </w:lvl>
    <w:lvl w:ilvl="2" w:tentative="0">
      <w:start w:val="1"/>
      <w:numFmt w:val="decimal"/>
      <w:pStyle w:val="86"/>
      <w:suff w:val="nothing"/>
      <w:lvlText w:val="%1.%2.%3　"/>
      <w:lvlJc w:val="left"/>
      <w:pPr>
        <w:ind w:left="0" w:firstLine="0"/>
      </w:pPr>
      <w:rPr>
        <w:rFonts w:hint="eastAsia" w:ascii="黑体" w:eastAsia="黑体"/>
        <w:b w:val="0"/>
        <w:i w:val="0"/>
        <w:sz w:val="21"/>
      </w:rPr>
    </w:lvl>
    <w:lvl w:ilvl="3" w:tentative="0">
      <w:start w:val="1"/>
      <w:numFmt w:val="decimal"/>
      <w:pStyle w:val="88"/>
      <w:suff w:val="nothing"/>
      <w:lvlText w:val="%1.%2.%3.%4　"/>
      <w:lvlJc w:val="left"/>
      <w:pPr>
        <w:ind w:left="0" w:firstLine="0"/>
      </w:pPr>
      <w:rPr>
        <w:rFonts w:hint="eastAsia" w:ascii="黑体" w:eastAsia="黑体"/>
        <w:b w:val="0"/>
        <w:i w:val="0"/>
        <w:sz w:val="21"/>
      </w:rPr>
    </w:lvl>
    <w:lvl w:ilvl="4" w:tentative="0">
      <w:start w:val="1"/>
      <w:numFmt w:val="decimal"/>
      <w:pStyle w:val="89"/>
      <w:suff w:val="nothing"/>
      <w:lvlText w:val="%1.%2.%3.%4.%5　"/>
      <w:lvlJc w:val="left"/>
      <w:pPr>
        <w:ind w:left="0" w:firstLine="0"/>
      </w:pPr>
      <w:rPr>
        <w:rFonts w:hint="eastAsia" w:ascii="黑体" w:eastAsia="黑体"/>
        <w:b w:val="0"/>
        <w:i w:val="0"/>
        <w:sz w:val="21"/>
      </w:rPr>
    </w:lvl>
    <w:lvl w:ilvl="5" w:tentative="0">
      <w:start w:val="1"/>
      <w:numFmt w:val="decimal"/>
      <w:pStyle w:val="91"/>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5"/>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104"/>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80"/>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9"/>
      <w:suff w:val="nothing"/>
      <w:lvlText w:val="%1"/>
      <w:lvlJc w:val="left"/>
      <w:pPr>
        <w:ind w:left="0" w:firstLine="0"/>
      </w:pPr>
      <w:rPr>
        <w:rFonts w:hint="eastAsia"/>
      </w:rPr>
    </w:lvl>
    <w:lvl w:ilvl="1" w:tentative="0">
      <w:start w:val="1"/>
      <w:numFmt w:val="decimal"/>
      <w:pStyle w:val="111"/>
      <w:suff w:val="nothing"/>
      <w:lvlText w:val="%1%2　"/>
      <w:lvlJc w:val="left"/>
      <w:pPr>
        <w:ind w:left="0" w:firstLine="0"/>
      </w:pPr>
      <w:rPr>
        <w:rFonts w:hint="eastAsia" w:ascii="黑体" w:eastAsia="黑体"/>
        <w:b w:val="0"/>
        <w:i w:val="0"/>
        <w:sz w:val="21"/>
      </w:rPr>
    </w:lvl>
    <w:lvl w:ilvl="2" w:tentative="0">
      <w:start w:val="1"/>
      <w:numFmt w:val="decimal"/>
      <w:pStyle w:val="112"/>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2"/>
      <w:suff w:val="nothing"/>
      <w:lvlText w:val="%1%2.%3.%4　"/>
      <w:lvlJc w:val="left"/>
      <w:pPr>
        <w:ind w:left="0" w:firstLine="0"/>
      </w:pPr>
      <w:rPr>
        <w:rFonts w:hint="eastAsia" w:ascii="黑体" w:eastAsia="黑体"/>
        <w:b w:val="0"/>
        <w:i w:val="0"/>
        <w:sz w:val="21"/>
      </w:rPr>
    </w:lvl>
    <w:lvl w:ilvl="4" w:tentative="0">
      <w:start w:val="1"/>
      <w:numFmt w:val="decimal"/>
      <w:pStyle w:val="101"/>
      <w:suff w:val="nothing"/>
      <w:lvlText w:val="%1%2.%3.%4.%5　"/>
      <w:lvlJc w:val="left"/>
      <w:pPr>
        <w:ind w:left="0" w:firstLine="0"/>
      </w:pPr>
      <w:rPr>
        <w:rFonts w:hint="eastAsia" w:ascii="黑体" w:eastAsia="黑体"/>
        <w:b w:val="0"/>
        <w:i w:val="0"/>
        <w:sz w:val="21"/>
      </w:rPr>
    </w:lvl>
    <w:lvl w:ilvl="5" w:tentative="0">
      <w:start w:val="1"/>
      <w:numFmt w:val="decimal"/>
      <w:pStyle w:val="105"/>
      <w:suff w:val="nothing"/>
      <w:lvlText w:val="%1%2.%3.%4.%5.%6　"/>
      <w:lvlJc w:val="left"/>
      <w:pPr>
        <w:ind w:left="0" w:firstLine="0"/>
      </w:pPr>
      <w:rPr>
        <w:rFonts w:hint="eastAsia" w:ascii="黑体" w:eastAsia="黑体"/>
        <w:b w:val="0"/>
        <w:i w:val="0"/>
        <w:sz w:val="21"/>
      </w:rPr>
    </w:lvl>
    <w:lvl w:ilvl="6" w:tentative="0">
      <w:start w:val="1"/>
      <w:numFmt w:val="decimal"/>
      <w:pStyle w:val="110"/>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6"/>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22"/>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6"/>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28"/>
  </w:num>
  <w:num w:numId="3">
    <w:abstractNumId w:val="7"/>
  </w:num>
  <w:num w:numId="4">
    <w:abstractNumId w:val="24"/>
  </w:num>
  <w:num w:numId="5">
    <w:abstractNumId w:val="20"/>
  </w:num>
  <w:num w:numId="6">
    <w:abstractNumId w:val="0"/>
  </w:num>
  <w:num w:numId="7">
    <w:abstractNumId w:val="10"/>
  </w:num>
  <w:num w:numId="8">
    <w:abstractNumId w:val="5"/>
  </w:num>
  <w:num w:numId="9">
    <w:abstractNumId w:val="11"/>
  </w:num>
  <w:num w:numId="10">
    <w:abstractNumId w:val="17"/>
  </w:num>
  <w:num w:numId="11">
    <w:abstractNumId w:val="26"/>
  </w:num>
  <w:num w:numId="12">
    <w:abstractNumId w:val="13"/>
  </w:num>
  <w:num w:numId="13">
    <w:abstractNumId w:val="14"/>
  </w:num>
  <w:num w:numId="14">
    <w:abstractNumId w:val="9"/>
  </w:num>
  <w:num w:numId="15">
    <w:abstractNumId w:val="19"/>
  </w:num>
  <w:num w:numId="16">
    <w:abstractNumId w:val="22"/>
  </w:num>
  <w:num w:numId="17">
    <w:abstractNumId w:val="18"/>
  </w:num>
  <w:num w:numId="18">
    <w:abstractNumId w:val="30"/>
  </w:num>
  <w:num w:numId="19">
    <w:abstractNumId w:val="16"/>
  </w:num>
  <w:num w:numId="20">
    <w:abstractNumId w:val="3"/>
  </w:num>
  <w:num w:numId="21">
    <w:abstractNumId w:val="12"/>
  </w:num>
  <w:num w:numId="22">
    <w:abstractNumId w:val="31"/>
  </w:num>
  <w:num w:numId="23">
    <w:abstractNumId w:val="21"/>
  </w:num>
  <w:num w:numId="24">
    <w:abstractNumId w:val="8"/>
  </w:num>
  <w:num w:numId="25">
    <w:abstractNumId w:val="27"/>
  </w:num>
  <w:num w:numId="26">
    <w:abstractNumId w:val="29"/>
  </w:num>
  <w:num w:numId="27">
    <w:abstractNumId w:val="4"/>
  </w:num>
  <w:num w:numId="28">
    <w:abstractNumId w:val="6"/>
  </w:num>
  <w:num w:numId="29">
    <w:abstractNumId w:val="15"/>
  </w:num>
  <w:num w:numId="30">
    <w:abstractNumId w:val="25"/>
  </w:num>
  <w:num w:numId="31">
    <w:abstractNumId w:val="2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TrueTypeFonts/>
  <w:bordersDoNotSurroundHeader w:val="0"/>
  <w:bordersDoNotSurroundFooter w:val="0"/>
  <w:attachedTemplate r:id="rId1"/>
  <w:documentProtection w:edit="forms"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Nzc5NGNmMzdlZmE0ZmRhNGMxZmY4ZDU4Zjk1MjcifQ=="/>
  </w:docVars>
  <w:rsids>
    <w:rsidRoot w:val="00CA61A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193E"/>
    <w:rsid w:val="001B71D0"/>
    <w:rsid w:val="001B71EE"/>
    <w:rsid w:val="001C04A8"/>
    <w:rsid w:val="001C2C03"/>
    <w:rsid w:val="001C42F7"/>
    <w:rsid w:val="001C49E5"/>
    <w:rsid w:val="001C66E0"/>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07A95"/>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3104"/>
    <w:rsid w:val="003C5A43"/>
    <w:rsid w:val="003D0519"/>
    <w:rsid w:val="003D0FF6"/>
    <w:rsid w:val="003D12CF"/>
    <w:rsid w:val="003D262C"/>
    <w:rsid w:val="003D6D61"/>
    <w:rsid w:val="003E015F"/>
    <w:rsid w:val="003E091D"/>
    <w:rsid w:val="003E1C53"/>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63CD"/>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297"/>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2335"/>
    <w:rsid w:val="005E34CA"/>
    <w:rsid w:val="005E3C18"/>
    <w:rsid w:val="005E6318"/>
    <w:rsid w:val="005E6812"/>
    <w:rsid w:val="005E7829"/>
    <w:rsid w:val="005E7881"/>
    <w:rsid w:val="005E78E0"/>
    <w:rsid w:val="005F0D9C"/>
    <w:rsid w:val="005F284E"/>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2977"/>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F03A8"/>
    <w:rsid w:val="006F126C"/>
    <w:rsid w:val="006F2ACA"/>
    <w:rsid w:val="006F2ADC"/>
    <w:rsid w:val="006F2BFE"/>
    <w:rsid w:val="006F31E9"/>
    <w:rsid w:val="006F56E5"/>
    <w:rsid w:val="006F6284"/>
    <w:rsid w:val="007002C5"/>
    <w:rsid w:val="0070348B"/>
    <w:rsid w:val="00704387"/>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1352"/>
    <w:rsid w:val="007D2508"/>
    <w:rsid w:val="007D346A"/>
    <w:rsid w:val="007D6518"/>
    <w:rsid w:val="007D76BD"/>
    <w:rsid w:val="007E0BF1"/>
    <w:rsid w:val="007E0D02"/>
    <w:rsid w:val="007E258B"/>
    <w:rsid w:val="007F0ED8"/>
    <w:rsid w:val="007F0F63"/>
    <w:rsid w:val="007F3748"/>
    <w:rsid w:val="007F75CE"/>
    <w:rsid w:val="008013A4"/>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562FB"/>
    <w:rsid w:val="00860297"/>
    <w:rsid w:val="008603CE"/>
    <w:rsid w:val="008620FC"/>
    <w:rsid w:val="008627A5"/>
    <w:rsid w:val="00863E05"/>
    <w:rsid w:val="0086431E"/>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58DC"/>
    <w:rsid w:val="008F70BD"/>
    <w:rsid w:val="008F788F"/>
    <w:rsid w:val="008F7EA2"/>
    <w:rsid w:val="00902722"/>
    <w:rsid w:val="009027BC"/>
    <w:rsid w:val="009062E6"/>
    <w:rsid w:val="00911AF6"/>
    <w:rsid w:val="00911BE5"/>
    <w:rsid w:val="00913CA9"/>
    <w:rsid w:val="009145AE"/>
    <w:rsid w:val="009146CE"/>
    <w:rsid w:val="00914CA7"/>
    <w:rsid w:val="00915C3E"/>
    <w:rsid w:val="009161A8"/>
    <w:rsid w:val="009245F5"/>
    <w:rsid w:val="009249EC"/>
    <w:rsid w:val="009273B3"/>
    <w:rsid w:val="009305B5"/>
    <w:rsid w:val="00941FA3"/>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A01757"/>
    <w:rsid w:val="00A028C0"/>
    <w:rsid w:val="00A02BAE"/>
    <w:rsid w:val="00A05AA6"/>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31C"/>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FBE"/>
    <w:rsid w:val="00B62B58"/>
    <w:rsid w:val="00B65149"/>
    <w:rsid w:val="00B66567"/>
    <w:rsid w:val="00B66F52"/>
    <w:rsid w:val="00B66FE5"/>
    <w:rsid w:val="00B72880"/>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31C"/>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6741"/>
    <w:rsid w:val="00CA2D1B"/>
    <w:rsid w:val="00CA61A4"/>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363"/>
    <w:rsid w:val="00CC6E4E"/>
    <w:rsid w:val="00CC6FE8"/>
    <w:rsid w:val="00CC7202"/>
    <w:rsid w:val="00CD2808"/>
    <w:rsid w:val="00CD28BF"/>
    <w:rsid w:val="00CD4092"/>
    <w:rsid w:val="00CD4A20"/>
    <w:rsid w:val="00CD50A1"/>
    <w:rsid w:val="00CD519E"/>
    <w:rsid w:val="00CD5EEF"/>
    <w:rsid w:val="00CE0C4F"/>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4CB7"/>
    <w:rsid w:val="00D352A2"/>
    <w:rsid w:val="00D4162B"/>
    <w:rsid w:val="00D4514F"/>
    <w:rsid w:val="00D451E2"/>
    <w:rsid w:val="00D45E89"/>
    <w:rsid w:val="00D45E8D"/>
    <w:rsid w:val="00D466AE"/>
    <w:rsid w:val="00D4734F"/>
    <w:rsid w:val="00D51865"/>
    <w:rsid w:val="00D51BF3"/>
    <w:rsid w:val="00D54B98"/>
    <w:rsid w:val="00D56D85"/>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0FAC"/>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4B63"/>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77D98"/>
    <w:rsid w:val="00F81D01"/>
    <w:rsid w:val="00F833BA"/>
    <w:rsid w:val="00F84FD0"/>
    <w:rsid w:val="00F859A8"/>
    <w:rsid w:val="00F86C8B"/>
    <w:rsid w:val="00F9108B"/>
    <w:rsid w:val="00F91349"/>
    <w:rsid w:val="00F93A8A"/>
    <w:rsid w:val="00F95248"/>
    <w:rsid w:val="00F956A9"/>
    <w:rsid w:val="00F963ED"/>
    <w:rsid w:val="00F966CF"/>
    <w:rsid w:val="00F96CAE"/>
    <w:rsid w:val="00F97C99"/>
    <w:rsid w:val="00FA662D"/>
    <w:rsid w:val="00FA6730"/>
    <w:rsid w:val="00FA73B1"/>
    <w:rsid w:val="00FB0CB9"/>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3B0DE8"/>
    <w:rsid w:val="013E61E2"/>
    <w:rsid w:val="01445144"/>
    <w:rsid w:val="01DB1C83"/>
    <w:rsid w:val="02247ACE"/>
    <w:rsid w:val="024B6E08"/>
    <w:rsid w:val="027345B1"/>
    <w:rsid w:val="02EB239A"/>
    <w:rsid w:val="0337738D"/>
    <w:rsid w:val="035E700F"/>
    <w:rsid w:val="03802AE2"/>
    <w:rsid w:val="038F0F77"/>
    <w:rsid w:val="03936A9A"/>
    <w:rsid w:val="0397523E"/>
    <w:rsid w:val="041A1DAA"/>
    <w:rsid w:val="04D71266"/>
    <w:rsid w:val="05017C52"/>
    <w:rsid w:val="0506793D"/>
    <w:rsid w:val="05383DBD"/>
    <w:rsid w:val="05485881"/>
    <w:rsid w:val="056D7D96"/>
    <w:rsid w:val="057E74F5"/>
    <w:rsid w:val="05D13AC9"/>
    <w:rsid w:val="05E25CD6"/>
    <w:rsid w:val="062067FE"/>
    <w:rsid w:val="06370BD1"/>
    <w:rsid w:val="06E635A4"/>
    <w:rsid w:val="071740BE"/>
    <w:rsid w:val="072126BE"/>
    <w:rsid w:val="074107DA"/>
    <w:rsid w:val="0741664E"/>
    <w:rsid w:val="074402CA"/>
    <w:rsid w:val="074B2F2B"/>
    <w:rsid w:val="076C2B3D"/>
    <w:rsid w:val="07837045"/>
    <w:rsid w:val="07F22FA2"/>
    <w:rsid w:val="0808754A"/>
    <w:rsid w:val="08267E19"/>
    <w:rsid w:val="082A74C0"/>
    <w:rsid w:val="089112ED"/>
    <w:rsid w:val="08C94F2B"/>
    <w:rsid w:val="08D631A4"/>
    <w:rsid w:val="08FB2C0B"/>
    <w:rsid w:val="09075A53"/>
    <w:rsid w:val="096133B5"/>
    <w:rsid w:val="0966277A"/>
    <w:rsid w:val="098B21E0"/>
    <w:rsid w:val="09DC47EA"/>
    <w:rsid w:val="0A3B7B2A"/>
    <w:rsid w:val="0A49096C"/>
    <w:rsid w:val="0AAE6112"/>
    <w:rsid w:val="0B510CC2"/>
    <w:rsid w:val="0B61144B"/>
    <w:rsid w:val="0B7373D0"/>
    <w:rsid w:val="0B7E024F"/>
    <w:rsid w:val="0BA37CB5"/>
    <w:rsid w:val="0C7015F6"/>
    <w:rsid w:val="0C8F023A"/>
    <w:rsid w:val="0C96783C"/>
    <w:rsid w:val="0C9B6BDE"/>
    <w:rsid w:val="0CA666F2"/>
    <w:rsid w:val="0CA912FB"/>
    <w:rsid w:val="0CAC0DEC"/>
    <w:rsid w:val="0CB24D02"/>
    <w:rsid w:val="0CBD4DA7"/>
    <w:rsid w:val="0CF06F2A"/>
    <w:rsid w:val="0CF7697F"/>
    <w:rsid w:val="0CF9720F"/>
    <w:rsid w:val="0D183D8B"/>
    <w:rsid w:val="0D205F98"/>
    <w:rsid w:val="0D397A5A"/>
    <w:rsid w:val="0D985311"/>
    <w:rsid w:val="0DA21B9C"/>
    <w:rsid w:val="0DEC33DE"/>
    <w:rsid w:val="0DEE2D3E"/>
    <w:rsid w:val="0E323572"/>
    <w:rsid w:val="0E5E4367"/>
    <w:rsid w:val="0E6D5BB9"/>
    <w:rsid w:val="0EAA135B"/>
    <w:rsid w:val="0EAE0E4B"/>
    <w:rsid w:val="0ED9579C"/>
    <w:rsid w:val="0F1467D4"/>
    <w:rsid w:val="0F1C5EFC"/>
    <w:rsid w:val="0F3E4653"/>
    <w:rsid w:val="0F576C9E"/>
    <w:rsid w:val="0FAB7138"/>
    <w:rsid w:val="0FF860F6"/>
    <w:rsid w:val="1024598E"/>
    <w:rsid w:val="105517FE"/>
    <w:rsid w:val="107C0AD5"/>
    <w:rsid w:val="108C091C"/>
    <w:rsid w:val="10971222"/>
    <w:rsid w:val="10F260A2"/>
    <w:rsid w:val="11346DAD"/>
    <w:rsid w:val="11364E51"/>
    <w:rsid w:val="115C628C"/>
    <w:rsid w:val="117479FE"/>
    <w:rsid w:val="118045F5"/>
    <w:rsid w:val="119F4A7B"/>
    <w:rsid w:val="11A6405B"/>
    <w:rsid w:val="11B61661"/>
    <w:rsid w:val="11BD13A5"/>
    <w:rsid w:val="11E82659"/>
    <w:rsid w:val="120B2110"/>
    <w:rsid w:val="126637EB"/>
    <w:rsid w:val="1279042F"/>
    <w:rsid w:val="1289734F"/>
    <w:rsid w:val="12C15029"/>
    <w:rsid w:val="12E71E34"/>
    <w:rsid w:val="12FE379E"/>
    <w:rsid w:val="13693232"/>
    <w:rsid w:val="13743CE5"/>
    <w:rsid w:val="13947D4D"/>
    <w:rsid w:val="13DA623E"/>
    <w:rsid w:val="14047949"/>
    <w:rsid w:val="142D2812"/>
    <w:rsid w:val="14403A45"/>
    <w:rsid w:val="14755F67"/>
    <w:rsid w:val="14897755"/>
    <w:rsid w:val="14C95AF3"/>
    <w:rsid w:val="15003A82"/>
    <w:rsid w:val="15107A3E"/>
    <w:rsid w:val="15164B54"/>
    <w:rsid w:val="154871D8"/>
    <w:rsid w:val="154E24EE"/>
    <w:rsid w:val="1579275D"/>
    <w:rsid w:val="15854FAB"/>
    <w:rsid w:val="15D942D4"/>
    <w:rsid w:val="15E931DA"/>
    <w:rsid w:val="161D66CD"/>
    <w:rsid w:val="1662251B"/>
    <w:rsid w:val="16946B78"/>
    <w:rsid w:val="16BD34A4"/>
    <w:rsid w:val="1740285C"/>
    <w:rsid w:val="174B0D9F"/>
    <w:rsid w:val="177047B1"/>
    <w:rsid w:val="1798559B"/>
    <w:rsid w:val="17F378CF"/>
    <w:rsid w:val="181451A4"/>
    <w:rsid w:val="182932F0"/>
    <w:rsid w:val="185C5798"/>
    <w:rsid w:val="18E13ADF"/>
    <w:rsid w:val="19020F76"/>
    <w:rsid w:val="194B7296"/>
    <w:rsid w:val="195218C7"/>
    <w:rsid w:val="19AD1853"/>
    <w:rsid w:val="19E80F89"/>
    <w:rsid w:val="19F87CF8"/>
    <w:rsid w:val="1A2E2E40"/>
    <w:rsid w:val="1A5B14D5"/>
    <w:rsid w:val="1A6C3968"/>
    <w:rsid w:val="1AB53561"/>
    <w:rsid w:val="1AD05CA5"/>
    <w:rsid w:val="1AF851FC"/>
    <w:rsid w:val="1B081624"/>
    <w:rsid w:val="1B444464"/>
    <w:rsid w:val="1B9969DF"/>
    <w:rsid w:val="1C05105F"/>
    <w:rsid w:val="1C2019B2"/>
    <w:rsid w:val="1C232937"/>
    <w:rsid w:val="1C4921B3"/>
    <w:rsid w:val="1C5E47EB"/>
    <w:rsid w:val="1C84035C"/>
    <w:rsid w:val="1C861486"/>
    <w:rsid w:val="1C90180A"/>
    <w:rsid w:val="1CB44504"/>
    <w:rsid w:val="1CBF06C7"/>
    <w:rsid w:val="1CD11779"/>
    <w:rsid w:val="1CD557F5"/>
    <w:rsid w:val="1CFE203E"/>
    <w:rsid w:val="1D3E1AE8"/>
    <w:rsid w:val="1D412E8A"/>
    <w:rsid w:val="1D6152DA"/>
    <w:rsid w:val="1D9C6312"/>
    <w:rsid w:val="1DA578BD"/>
    <w:rsid w:val="1DA8115B"/>
    <w:rsid w:val="1DE37048"/>
    <w:rsid w:val="1E122A78"/>
    <w:rsid w:val="1E293DC9"/>
    <w:rsid w:val="1E592455"/>
    <w:rsid w:val="1E8C6387"/>
    <w:rsid w:val="1F0506DA"/>
    <w:rsid w:val="1F4629DA"/>
    <w:rsid w:val="1F5A46D7"/>
    <w:rsid w:val="1F7D0E8D"/>
    <w:rsid w:val="1F7E2174"/>
    <w:rsid w:val="1FBC6ED8"/>
    <w:rsid w:val="1FFB71EF"/>
    <w:rsid w:val="2011123A"/>
    <w:rsid w:val="20112FE8"/>
    <w:rsid w:val="202F6FF1"/>
    <w:rsid w:val="203B1A9A"/>
    <w:rsid w:val="20586BFF"/>
    <w:rsid w:val="206F32C6"/>
    <w:rsid w:val="20A206AE"/>
    <w:rsid w:val="21167384"/>
    <w:rsid w:val="2136082C"/>
    <w:rsid w:val="21703D3E"/>
    <w:rsid w:val="221446F8"/>
    <w:rsid w:val="22A21F61"/>
    <w:rsid w:val="23135F56"/>
    <w:rsid w:val="23720E5B"/>
    <w:rsid w:val="239F4DAE"/>
    <w:rsid w:val="23B2431C"/>
    <w:rsid w:val="24101808"/>
    <w:rsid w:val="24E862E1"/>
    <w:rsid w:val="2560231B"/>
    <w:rsid w:val="257152D6"/>
    <w:rsid w:val="25D80104"/>
    <w:rsid w:val="26013711"/>
    <w:rsid w:val="2604378E"/>
    <w:rsid w:val="2641214D"/>
    <w:rsid w:val="26435EC5"/>
    <w:rsid w:val="264F486A"/>
    <w:rsid w:val="26597496"/>
    <w:rsid w:val="268D6C84"/>
    <w:rsid w:val="26AC40FD"/>
    <w:rsid w:val="26C568DA"/>
    <w:rsid w:val="26D22DA5"/>
    <w:rsid w:val="26F251F5"/>
    <w:rsid w:val="26FD2518"/>
    <w:rsid w:val="2706199F"/>
    <w:rsid w:val="27191146"/>
    <w:rsid w:val="272555CB"/>
    <w:rsid w:val="272705E4"/>
    <w:rsid w:val="278B636C"/>
    <w:rsid w:val="27A74232"/>
    <w:rsid w:val="281713B7"/>
    <w:rsid w:val="28526934"/>
    <w:rsid w:val="28AA3FD9"/>
    <w:rsid w:val="28CE6F9F"/>
    <w:rsid w:val="28D46B7D"/>
    <w:rsid w:val="298F4F7D"/>
    <w:rsid w:val="29D55086"/>
    <w:rsid w:val="2A1A5F20"/>
    <w:rsid w:val="2A1F27A5"/>
    <w:rsid w:val="2A222295"/>
    <w:rsid w:val="2A3A75DF"/>
    <w:rsid w:val="2A7B0D43"/>
    <w:rsid w:val="2A984505"/>
    <w:rsid w:val="2ABA24CE"/>
    <w:rsid w:val="2ABC5A31"/>
    <w:rsid w:val="2AE76B06"/>
    <w:rsid w:val="2B0025D7"/>
    <w:rsid w:val="2B6366C1"/>
    <w:rsid w:val="2B7408CF"/>
    <w:rsid w:val="2B941177"/>
    <w:rsid w:val="2BA80578"/>
    <w:rsid w:val="2BB331A5"/>
    <w:rsid w:val="2BCC070B"/>
    <w:rsid w:val="2BF727FE"/>
    <w:rsid w:val="2C047EA4"/>
    <w:rsid w:val="2C405C02"/>
    <w:rsid w:val="2C610E53"/>
    <w:rsid w:val="2C974E26"/>
    <w:rsid w:val="2CC71744"/>
    <w:rsid w:val="2D142369"/>
    <w:rsid w:val="2D175AA2"/>
    <w:rsid w:val="2D364384"/>
    <w:rsid w:val="2D864A37"/>
    <w:rsid w:val="2DB16996"/>
    <w:rsid w:val="2DE832DC"/>
    <w:rsid w:val="2E067F10"/>
    <w:rsid w:val="2E2E745B"/>
    <w:rsid w:val="2E312AA7"/>
    <w:rsid w:val="2E6E3CFB"/>
    <w:rsid w:val="2E7A774E"/>
    <w:rsid w:val="2EA11455"/>
    <w:rsid w:val="2EA65243"/>
    <w:rsid w:val="2EEF10A1"/>
    <w:rsid w:val="2EEF5C10"/>
    <w:rsid w:val="2F1B2612"/>
    <w:rsid w:val="2F466B3B"/>
    <w:rsid w:val="2FA5374C"/>
    <w:rsid w:val="2FAF42C8"/>
    <w:rsid w:val="2FE752D1"/>
    <w:rsid w:val="300A7A53"/>
    <w:rsid w:val="30304791"/>
    <w:rsid w:val="303B5E5F"/>
    <w:rsid w:val="304E7940"/>
    <w:rsid w:val="3069477A"/>
    <w:rsid w:val="309D614E"/>
    <w:rsid w:val="30F0112E"/>
    <w:rsid w:val="313528AE"/>
    <w:rsid w:val="314D19A6"/>
    <w:rsid w:val="318D4498"/>
    <w:rsid w:val="31A11CF2"/>
    <w:rsid w:val="31E3055C"/>
    <w:rsid w:val="32686B23"/>
    <w:rsid w:val="32AB5D01"/>
    <w:rsid w:val="32D3237F"/>
    <w:rsid w:val="332A7819"/>
    <w:rsid w:val="334376A7"/>
    <w:rsid w:val="33492641"/>
    <w:rsid w:val="33686F6B"/>
    <w:rsid w:val="338C5873"/>
    <w:rsid w:val="33A900F6"/>
    <w:rsid w:val="33D31231"/>
    <w:rsid w:val="33D60378"/>
    <w:rsid w:val="34120C85"/>
    <w:rsid w:val="341D114F"/>
    <w:rsid w:val="347D6A46"/>
    <w:rsid w:val="349873DC"/>
    <w:rsid w:val="34A77AD0"/>
    <w:rsid w:val="34BF4CAA"/>
    <w:rsid w:val="34FA3BF3"/>
    <w:rsid w:val="35020CF9"/>
    <w:rsid w:val="351729F7"/>
    <w:rsid w:val="352D62CE"/>
    <w:rsid w:val="358F02C1"/>
    <w:rsid w:val="35986C99"/>
    <w:rsid w:val="35E11274"/>
    <w:rsid w:val="35EF42A0"/>
    <w:rsid w:val="35F04FF6"/>
    <w:rsid w:val="360E3B2F"/>
    <w:rsid w:val="36286DD0"/>
    <w:rsid w:val="365C268B"/>
    <w:rsid w:val="36723C5D"/>
    <w:rsid w:val="367501B8"/>
    <w:rsid w:val="368470CC"/>
    <w:rsid w:val="376143FD"/>
    <w:rsid w:val="38042FDA"/>
    <w:rsid w:val="38084878"/>
    <w:rsid w:val="382471D8"/>
    <w:rsid w:val="38510A7B"/>
    <w:rsid w:val="38811B6E"/>
    <w:rsid w:val="389B28F8"/>
    <w:rsid w:val="38BD6D58"/>
    <w:rsid w:val="38F02E97"/>
    <w:rsid w:val="39447FDB"/>
    <w:rsid w:val="395B30CE"/>
    <w:rsid w:val="39CD5D7A"/>
    <w:rsid w:val="39E60BE9"/>
    <w:rsid w:val="39FE35D6"/>
    <w:rsid w:val="3A240899"/>
    <w:rsid w:val="3A7D77A0"/>
    <w:rsid w:val="3AAB598F"/>
    <w:rsid w:val="3AD4069B"/>
    <w:rsid w:val="3B177A3B"/>
    <w:rsid w:val="3B3720B6"/>
    <w:rsid w:val="3B434C68"/>
    <w:rsid w:val="3B4756B8"/>
    <w:rsid w:val="3B4B21D2"/>
    <w:rsid w:val="3B5B1163"/>
    <w:rsid w:val="3B660234"/>
    <w:rsid w:val="3B7A10AA"/>
    <w:rsid w:val="3B8F2C3B"/>
    <w:rsid w:val="3B9E5419"/>
    <w:rsid w:val="3B9F3746"/>
    <w:rsid w:val="3BBF5B96"/>
    <w:rsid w:val="3BE23632"/>
    <w:rsid w:val="3C137C90"/>
    <w:rsid w:val="3C1557B6"/>
    <w:rsid w:val="3C670048"/>
    <w:rsid w:val="3CE1265E"/>
    <w:rsid w:val="3D0F0457"/>
    <w:rsid w:val="3D211F38"/>
    <w:rsid w:val="3D513680"/>
    <w:rsid w:val="3D566C49"/>
    <w:rsid w:val="3D8F1791"/>
    <w:rsid w:val="3D98044D"/>
    <w:rsid w:val="3E0C4997"/>
    <w:rsid w:val="3E204318"/>
    <w:rsid w:val="3E2E7003"/>
    <w:rsid w:val="3E4F1453"/>
    <w:rsid w:val="3E676FE7"/>
    <w:rsid w:val="3E6A003B"/>
    <w:rsid w:val="3E907376"/>
    <w:rsid w:val="3F0538C0"/>
    <w:rsid w:val="3F0B3AFE"/>
    <w:rsid w:val="3FA550A3"/>
    <w:rsid w:val="3FEE66DD"/>
    <w:rsid w:val="40491ED2"/>
    <w:rsid w:val="404D5D77"/>
    <w:rsid w:val="405C7E57"/>
    <w:rsid w:val="40685A73"/>
    <w:rsid w:val="40E65973"/>
    <w:rsid w:val="40EC0DD9"/>
    <w:rsid w:val="40EF3947"/>
    <w:rsid w:val="40FB4353"/>
    <w:rsid w:val="41263FC1"/>
    <w:rsid w:val="413B181B"/>
    <w:rsid w:val="41517290"/>
    <w:rsid w:val="41522043"/>
    <w:rsid w:val="41A27AEC"/>
    <w:rsid w:val="41D35EF7"/>
    <w:rsid w:val="41D97316"/>
    <w:rsid w:val="41EA1493"/>
    <w:rsid w:val="4207790D"/>
    <w:rsid w:val="42984A4B"/>
    <w:rsid w:val="42A17DA3"/>
    <w:rsid w:val="42BC6C22"/>
    <w:rsid w:val="42EB7271"/>
    <w:rsid w:val="430B346F"/>
    <w:rsid w:val="430C3285"/>
    <w:rsid w:val="43525542"/>
    <w:rsid w:val="437454B8"/>
    <w:rsid w:val="43876DC7"/>
    <w:rsid w:val="439B2A45"/>
    <w:rsid w:val="439F6551"/>
    <w:rsid w:val="44006D4C"/>
    <w:rsid w:val="44636591"/>
    <w:rsid w:val="449A0075"/>
    <w:rsid w:val="44C304A5"/>
    <w:rsid w:val="44FD4773"/>
    <w:rsid w:val="45034D45"/>
    <w:rsid w:val="45486BFC"/>
    <w:rsid w:val="45DB35CC"/>
    <w:rsid w:val="45E83F3B"/>
    <w:rsid w:val="45FA7D5B"/>
    <w:rsid w:val="464078D3"/>
    <w:rsid w:val="464229AA"/>
    <w:rsid w:val="465A48FC"/>
    <w:rsid w:val="46696CCB"/>
    <w:rsid w:val="46794B93"/>
    <w:rsid w:val="46895648"/>
    <w:rsid w:val="46D70238"/>
    <w:rsid w:val="46D87B0C"/>
    <w:rsid w:val="473C009B"/>
    <w:rsid w:val="473F1EFF"/>
    <w:rsid w:val="47613FA5"/>
    <w:rsid w:val="47BC2352"/>
    <w:rsid w:val="47C22C96"/>
    <w:rsid w:val="48457423"/>
    <w:rsid w:val="48530866"/>
    <w:rsid w:val="488B752C"/>
    <w:rsid w:val="48B06F92"/>
    <w:rsid w:val="48BB1493"/>
    <w:rsid w:val="48F76E74"/>
    <w:rsid w:val="490E0B33"/>
    <w:rsid w:val="49AF724A"/>
    <w:rsid w:val="49D1656A"/>
    <w:rsid w:val="49F64E79"/>
    <w:rsid w:val="4A075F7D"/>
    <w:rsid w:val="4A325785"/>
    <w:rsid w:val="4A800BE6"/>
    <w:rsid w:val="4ADB5E1D"/>
    <w:rsid w:val="4AE22767"/>
    <w:rsid w:val="4BA91A77"/>
    <w:rsid w:val="4BCF3BD3"/>
    <w:rsid w:val="4BD74836"/>
    <w:rsid w:val="4C371778"/>
    <w:rsid w:val="4C7C718B"/>
    <w:rsid w:val="4C8F6EBF"/>
    <w:rsid w:val="4CEA67EB"/>
    <w:rsid w:val="4D9329DF"/>
    <w:rsid w:val="4DDA23BB"/>
    <w:rsid w:val="4E232905"/>
    <w:rsid w:val="4E241889"/>
    <w:rsid w:val="4E5C1022"/>
    <w:rsid w:val="4EB01641"/>
    <w:rsid w:val="4ED25E5C"/>
    <w:rsid w:val="4ED80FF1"/>
    <w:rsid w:val="4EF37BD9"/>
    <w:rsid w:val="4EFE20DA"/>
    <w:rsid w:val="4F0A6CD0"/>
    <w:rsid w:val="4F534BF8"/>
    <w:rsid w:val="4F587A3C"/>
    <w:rsid w:val="4FBF2D98"/>
    <w:rsid w:val="4FCA62BD"/>
    <w:rsid w:val="4FCC3F86"/>
    <w:rsid w:val="4FD33566"/>
    <w:rsid w:val="50234908"/>
    <w:rsid w:val="50504BB7"/>
    <w:rsid w:val="507C3BFE"/>
    <w:rsid w:val="507E34D2"/>
    <w:rsid w:val="50966C31"/>
    <w:rsid w:val="50ED2406"/>
    <w:rsid w:val="50F419E6"/>
    <w:rsid w:val="51431169"/>
    <w:rsid w:val="514E65F3"/>
    <w:rsid w:val="517322E7"/>
    <w:rsid w:val="51825244"/>
    <w:rsid w:val="5193599C"/>
    <w:rsid w:val="519A0805"/>
    <w:rsid w:val="51F53C68"/>
    <w:rsid w:val="52102850"/>
    <w:rsid w:val="52316678"/>
    <w:rsid w:val="525A3ACB"/>
    <w:rsid w:val="525D0267"/>
    <w:rsid w:val="52B23907"/>
    <w:rsid w:val="52C11D9C"/>
    <w:rsid w:val="52EA30A1"/>
    <w:rsid w:val="52FE6B4C"/>
    <w:rsid w:val="53105563"/>
    <w:rsid w:val="53234C57"/>
    <w:rsid w:val="53343453"/>
    <w:rsid w:val="537D2167"/>
    <w:rsid w:val="53926B2B"/>
    <w:rsid w:val="53A94D22"/>
    <w:rsid w:val="53E2646E"/>
    <w:rsid w:val="54232D0E"/>
    <w:rsid w:val="544B5514"/>
    <w:rsid w:val="54560E40"/>
    <w:rsid w:val="546B0211"/>
    <w:rsid w:val="54C71C79"/>
    <w:rsid w:val="54DA0EF3"/>
    <w:rsid w:val="54DA7145"/>
    <w:rsid w:val="54F413E0"/>
    <w:rsid w:val="54FA3343"/>
    <w:rsid w:val="55282E21"/>
    <w:rsid w:val="556829A3"/>
    <w:rsid w:val="55F259B1"/>
    <w:rsid w:val="56464697"/>
    <w:rsid w:val="56653928"/>
    <w:rsid w:val="567D7B45"/>
    <w:rsid w:val="569F2107"/>
    <w:rsid w:val="56A31EE4"/>
    <w:rsid w:val="56BC7955"/>
    <w:rsid w:val="56BE37C3"/>
    <w:rsid w:val="56F269C8"/>
    <w:rsid w:val="575A1E69"/>
    <w:rsid w:val="579B0E0D"/>
    <w:rsid w:val="57BD5228"/>
    <w:rsid w:val="57E22340"/>
    <w:rsid w:val="57E75E01"/>
    <w:rsid w:val="58126BF9"/>
    <w:rsid w:val="58690F0C"/>
    <w:rsid w:val="59326E77"/>
    <w:rsid w:val="59943D66"/>
    <w:rsid w:val="59A0270B"/>
    <w:rsid w:val="59C759D8"/>
    <w:rsid w:val="59DB3743"/>
    <w:rsid w:val="5A2055FA"/>
    <w:rsid w:val="5A274BDA"/>
    <w:rsid w:val="5A3B2BD8"/>
    <w:rsid w:val="5A4B6B1B"/>
    <w:rsid w:val="5A5233BE"/>
    <w:rsid w:val="5A5A4FB0"/>
    <w:rsid w:val="5A83669F"/>
    <w:rsid w:val="5AA708CA"/>
    <w:rsid w:val="5AE1122D"/>
    <w:rsid w:val="5B345801"/>
    <w:rsid w:val="5B3951AC"/>
    <w:rsid w:val="5B555777"/>
    <w:rsid w:val="5BAF30D9"/>
    <w:rsid w:val="5BEC78DC"/>
    <w:rsid w:val="5C3133BD"/>
    <w:rsid w:val="5C336931"/>
    <w:rsid w:val="5C58107B"/>
    <w:rsid w:val="5C7659A5"/>
    <w:rsid w:val="5C78171D"/>
    <w:rsid w:val="5C9522F3"/>
    <w:rsid w:val="5CA54208"/>
    <w:rsid w:val="5CA711F8"/>
    <w:rsid w:val="5CBD35D4"/>
    <w:rsid w:val="5CD66444"/>
    <w:rsid w:val="5D3715D8"/>
    <w:rsid w:val="5D423AD9"/>
    <w:rsid w:val="5D487342"/>
    <w:rsid w:val="5D5A52C7"/>
    <w:rsid w:val="5D8B5480"/>
    <w:rsid w:val="5D946993"/>
    <w:rsid w:val="5DB669A1"/>
    <w:rsid w:val="5DBA4EB4"/>
    <w:rsid w:val="5DC10EA2"/>
    <w:rsid w:val="5DC307FA"/>
    <w:rsid w:val="5DC42740"/>
    <w:rsid w:val="5DD2614B"/>
    <w:rsid w:val="5DDE1A54"/>
    <w:rsid w:val="5DF5547E"/>
    <w:rsid w:val="5E1E00A2"/>
    <w:rsid w:val="5E937DA9"/>
    <w:rsid w:val="5ED510A9"/>
    <w:rsid w:val="5F107C5C"/>
    <w:rsid w:val="5F3E6C4E"/>
    <w:rsid w:val="5F5B0685"/>
    <w:rsid w:val="5F927999"/>
    <w:rsid w:val="5F9E149B"/>
    <w:rsid w:val="5FB06EF5"/>
    <w:rsid w:val="5FC133DB"/>
    <w:rsid w:val="5FCB425A"/>
    <w:rsid w:val="5FCE4022"/>
    <w:rsid w:val="5FD41360"/>
    <w:rsid w:val="5FF732A1"/>
    <w:rsid w:val="5FF923DA"/>
    <w:rsid w:val="5FFE3CFF"/>
    <w:rsid w:val="602B6AA7"/>
    <w:rsid w:val="605F4D5E"/>
    <w:rsid w:val="60940F4D"/>
    <w:rsid w:val="60967D57"/>
    <w:rsid w:val="609F196E"/>
    <w:rsid w:val="60A971FB"/>
    <w:rsid w:val="60AE790C"/>
    <w:rsid w:val="60C14876"/>
    <w:rsid w:val="60C45638"/>
    <w:rsid w:val="61127BCE"/>
    <w:rsid w:val="61193A0B"/>
    <w:rsid w:val="611B6B1B"/>
    <w:rsid w:val="6129748A"/>
    <w:rsid w:val="61C947C9"/>
    <w:rsid w:val="620D321D"/>
    <w:rsid w:val="628F1E33"/>
    <w:rsid w:val="62DE42A4"/>
    <w:rsid w:val="63380AEB"/>
    <w:rsid w:val="63471527"/>
    <w:rsid w:val="63921D3E"/>
    <w:rsid w:val="63CB3C77"/>
    <w:rsid w:val="63E31B72"/>
    <w:rsid w:val="64127E15"/>
    <w:rsid w:val="64144421"/>
    <w:rsid w:val="6429154F"/>
    <w:rsid w:val="64A07D39"/>
    <w:rsid w:val="64B67DBB"/>
    <w:rsid w:val="64C6694E"/>
    <w:rsid w:val="64CD1AD5"/>
    <w:rsid w:val="64EC6A22"/>
    <w:rsid w:val="65385EEE"/>
    <w:rsid w:val="654E5711"/>
    <w:rsid w:val="657A6506"/>
    <w:rsid w:val="65B23EF2"/>
    <w:rsid w:val="65E733A7"/>
    <w:rsid w:val="6639539F"/>
    <w:rsid w:val="664036B8"/>
    <w:rsid w:val="66AF3A6A"/>
    <w:rsid w:val="66FB3677"/>
    <w:rsid w:val="67F97FFA"/>
    <w:rsid w:val="6852376A"/>
    <w:rsid w:val="6884144A"/>
    <w:rsid w:val="68F465CF"/>
    <w:rsid w:val="68F675F7"/>
    <w:rsid w:val="690D7691"/>
    <w:rsid w:val="695452C0"/>
    <w:rsid w:val="69807E63"/>
    <w:rsid w:val="69A00928"/>
    <w:rsid w:val="69F32F6D"/>
    <w:rsid w:val="69F85C4B"/>
    <w:rsid w:val="6A554E4C"/>
    <w:rsid w:val="6A694D9B"/>
    <w:rsid w:val="6A6A0E44"/>
    <w:rsid w:val="6AA2357A"/>
    <w:rsid w:val="6B111D7A"/>
    <w:rsid w:val="6B3B4599"/>
    <w:rsid w:val="6B3C1D1C"/>
    <w:rsid w:val="6B43739A"/>
    <w:rsid w:val="6B563571"/>
    <w:rsid w:val="6B910106"/>
    <w:rsid w:val="6BB67B6C"/>
    <w:rsid w:val="6BC8505C"/>
    <w:rsid w:val="6BD36970"/>
    <w:rsid w:val="6BF13D3D"/>
    <w:rsid w:val="6BFB7C75"/>
    <w:rsid w:val="6C6C46CF"/>
    <w:rsid w:val="6C9003BD"/>
    <w:rsid w:val="6C9C4FB4"/>
    <w:rsid w:val="6CB322FE"/>
    <w:rsid w:val="6CC24944"/>
    <w:rsid w:val="6CC422B2"/>
    <w:rsid w:val="6CD57C73"/>
    <w:rsid w:val="6CF43042"/>
    <w:rsid w:val="6D1859BB"/>
    <w:rsid w:val="6D2C16A8"/>
    <w:rsid w:val="6DAD3BA8"/>
    <w:rsid w:val="6DB9657F"/>
    <w:rsid w:val="6DF02BC2"/>
    <w:rsid w:val="6E0C7B11"/>
    <w:rsid w:val="6E7A1325"/>
    <w:rsid w:val="6E7F06E9"/>
    <w:rsid w:val="6E922B12"/>
    <w:rsid w:val="6F1C062E"/>
    <w:rsid w:val="6F314216"/>
    <w:rsid w:val="6F631DB9"/>
    <w:rsid w:val="6F704695"/>
    <w:rsid w:val="6F881820"/>
    <w:rsid w:val="6F9957DB"/>
    <w:rsid w:val="6F9D65B5"/>
    <w:rsid w:val="6FDB3D0F"/>
    <w:rsid w:val="703D6AAE"/>
    <w:rsid w:val="703F3234"/>
    <w:rsid w:val="704241B9"/>
    <w:rsid w:val="704F233D"/>
    <w:rsid w:val="709C6820"/>
    <w:rsid w:val="70BE01D5"/>
    <w:rsid w:val="70C41EB3"/>
    <w:rsid w:val="70FC0CF6"/>
    <w:rsid w:val="716B1B75"/>
    <w:rsid w:val="716C6002"/>
    <w:rsid w:val="71876217"/>
    <w:rsid w:val="718D136F"/>
    <w:rsid w:val="71F17B50"/>
    <w:rsid w:val="71F66F14"/>
    <w:rsid w:val="71FE401B"/>
    <w:rsid w:val="7238577F"/>
    <w:rsid w:val="72402885"/>
    <w:rsid w:val="729F75BD"/>
    <w:rsid w:val="72C9287B"/>
    <w:rsid w:val="72E17BC5"/>
    <w:rsid w:val="7310016F"/>
    <w:rsid w:val="731E7DE9"/>
    <w:rsid w:val="734C5BFD"/>
    <w:rsid w:val="734D7008"/>
    <w:rsid w:val="735171B2"/>
    <w:rsid w:val="736A5E0C"/>
    <w:rsid w:val="738467A2"/>
    <w:rsid w:val="73951FDA"/>
    <w:rsid w:val="73B1065D"/>
    <w:rsid w:val="73C92407"/>
    <w:rsid w:val="74173885"/>
    <w:rsid w:val="741F6689"/>
    <w:rsid w:val="744511DB"/>
    <w:rsid w:val="74D3178F"/>
    <w:rsid w:val="74DF3CDB"/>
    <w:rsid w:val="75464731"/>
    <w:rsid w:val="75640639"/>
    <w:rsid w:val="75973D58"/>
    <w:rsid w:val="759A22AD"/>
    <w:rsid w:val="75BA64AB"/>
    <w:rsid w:val="75FF0C10"/>
    <w:rsid w:val="762B1026"/>
    <w:rsid w:val="76744178"/>
    <w:rsid w:val="76EC6B38"/>
    <w:rsid w:val="76EE465E"/>
    <w:rsid w:val="76FE5846"/>
    <w:rsid w:val="773E7BB3"/>
    <w:rsid w:val="77AB69F3"/>
    <w:rsid w:val="77DA2E34"/>
    <w:rsid w:val="77FA7033"/>
    <w:rsid w:val="77FC6D03"/>
    <w:rsid w:val="78174088"/>
    <w:rsid w:val="782D178F"/>
    <w:rsid w:val="78A97A5F"/>
    <w:rsid w:val="78C7785D"/>
    <w:rsid w:val="78D36201"/>
    <w:rsid w:val="78EC1071"/>
    <w:rsid w:val="790F6B0E"/>
    <w:rsid w:val="792620AF"/>
    <w:rsid w:val="7931480B"/>
    <w:rsid w:val="79B15E9D"/>
    <w:rsid w:val="79C922CD"/>
    <w:rsid w:val="7A0348C4"/>
    <w:rsid w:val="7A150154"/>
    <w:rsid w:val="7A5C2B58"/>
    <w:rsid w:val="7B035A61"/>
    <w:rsid w:val="7B415E6B"/>
    <w:rsid w:val="7B5B5232"/>
    <w:rsid w:val="7B6B4CD9"/>
    <w:rsid w:val="7BB85132"/>
    <w:rsid w:val="7BF24BF0"/>
    <w:rsid w:val="7C09112C"/>
    <w:rsid w:val="7C127041"/>
    <w:rsid w:val="7C490589"/>
    <w:rsid w:val="7C6B04FF"/>
    <w:rsid w:val="7C7E6484"/>
    <w:rsid w:val="7CBB76D8"/>
    <w:rsid w:val="7CF16C56"/>
    <w:rsid w:val="7D225061"/>
    <w:rsid w:val="7D2F777E"/>
    <w:rsid w:val="7D521855"/>
    <w:rsid w:val="7D623654"/>
    <w:rsid w:val="7D7B29C4"/>
    <w:rsid w:val="7DC861E9"/>
    <w:rsid w:val="7E110D76"/>
    <w:rsid w:val="7E257EF5"/>
    <w:rsid w:val="7E466AB8"/>
    <w:rsid w:val="7E823BED"/>
    <w:rsid w:val="7EA877E8"/>
    <w:rsid w:val="7EB22415"/>
    <w:rsid w:val="7EB5427A"/>
    <w:rsid w:val="7EBE0DBA"/>
    <w:rsid w:val="7EC871EC"/>
    <w:rsid w:val="7EF944E8"/>
    <w:rsid w:val="7F741DC0"/>
    <w:rsid w:val="7F7E6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4">
    <w:name w:val="heading 1"/>
    <w:basedOn w:val="1"/>
    <w:next w:val="1"/>
    <w:link w:val="42"/>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3"/>
    <w:qFormat/>
    <w:uiPriority w:val="0"/>
    <w:pPr>
      <w:keepNext/>
      <w:keepLines/>
      <w:spacing w:before="260" w:after="260" w:line="416" w:lineRule="auto"/>
      <w:outlineLvl w:val="2"/>
    </w:pPr>
    <w:rPr>
      <w:b/>
      <w:bCs/>
      <w:sz w:val="32"/>
      <w:szCs w:val="32"/>
    </w:rPr>
  </w:style>
  <w:style w:type="paragraph" w:styleId="7">
    <w:name w:val="heading 4"/>
    <w:basedOn w:val="1"/>
    <w:next w:val="1"/>
    <w:link w:val="44"/>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45"/>
    <w:qFormat/>
    <w:uiPriority w:val="0"/>
    <w:pPr>
      <w:keepNext/>
      <w:keepLines/>
      <w:adjustRightInd/>
      <w:spacing w:before="280" w:after="290" w:line="376" w:lineRule="auto"/>
      <w:outlineLvl w:val="4"/>
    </w:pPr>
    <w:rPr>
      <w:b/>
      <w:bCs/>
      <w:sz w:val="28"/>
      <w:szCs w:val="28"/>
    </w:rPr>
  </w:style>
  <w:style w:type="paragraph" w:styleId="9">
    <w:name w:val="heading 6"/>
    <w:basedOn w:val="1"/>
    <w:next w:val="1"/>
    <w:link w:val="46"/>
    <w:qFormat/>
    <w:uiPriority w:val="0"/>
    <w:pPr>
      <w:keepNext/>
      <w:keepLines/>
      <w:adjustRightInd/>
      <w:spacing w:before="240" w:after="64" w:line="320" w:lineRule="auto"/>
      <w:outlineLvl w:val="5"/>
    </w:pPr>
    <w:rPr>
      <w:rFonts w:ascii="Arial" w:hAnsi="Arial" w:eastAsia="黑体"/>
      <w:b/>
      <w:bCs/>
      <w:sz w:val="24"/>
      <w:szCs w:val="24"/>
    </w:rPr>
  </w:style>
  <w:style w:type="paragraph" w:styleId="10">
    <w:name w:val="heading 7"/>
    <w:basedOn w:val="1"/>
    <w:next w:val="1"/>
    <w:link w:val="47"/>
    <w:qFormat/>
    <w:uiPriority w:val="0"/>
    <w:pPr>
      <w:keepNext/>
      <w:keepLines/>
      <w:adjustRightInd/>
      <w:spacing w:before="240" w:after="64" w:line="320" w:lineRule="auto"/>
      <w:outlineLvl w:val="6"/>
    </w:pPr>
    <w:rPr>
      <w:b/>
      <w:bCs/>
      <w:sz w:val="24"/>
      <w:szCs w:val="24"/>
    </w:rPr>
  </w:style>
  <w:style w:type="paragraph" w:styleId="11">
    <w:name w:val="heading 8"/>
    <w:basedOn w:val="1"/>
    <w:next w:val="1"/>
    <w:link w:val="48"/>
    <w:qFormat/>
    <w:uiPriority w:val="0"/>
    <w:pPr>
      <w:keepNext/>
      <w:keepLines/>
      <w:adjustRightInd/>
      <w:spacing w:before="240" w:after="64" w:line="320" w:lineRule="auto"/>
      <w:outlineLvl w:val="7"/>
    </w:pPr>
    <w:rPr>
      <w:rFonts w:ascii="Arial" w:hAnsi="Arial" w:eastAsia="黑体"/>
      <w:sz w:val="24"/>
      <w:szCs w:val="24"/>
    </w:rPr>
  </w:style>
  <w:style w:type="paragraph" w:styleId="12">
    <w:name w:val="heading 9"/>
    <w:basedOn w:val="1"/>
    <w:next w:val="1"/>
    <w:link w:val="49"/>
    <w:qFormat/>
    <w:uiPriority w:val="0"/>
    <w:pPr>
      <w:keepNext/>
      <w:keepLines/>
      <w:adjustRightInd/>
      <w:spacing w:before="240" w:after="64" w:line="320" w:lineRule="auto"/>
      <w:outlineLvl w:val="8"/>
    </w:pPr>
    <w:rPr>
      <w:rFonts w:ascii="Arial" w:hAnsi="Arial" w:eastAsia="黑体"/>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附录标识"/>
    <w:next w:val="3"/>
    <w:qFormat/>
    <w:uiPriority w:val="0"/>
    <w:pPr>
      <w:keepNext/>
      <w:widowControl/>
      <w:shd w:val="clear" w:color="FFFFFF" w:fill="FFFFFF"/>
      <w:adjustRightInd w:val="0"/>
      <w:spacing w:before="640" w:after="280" w:line="400" w:lineRule="exact"/>
      <w:ind w:left="3969"/>
      <w:jc w:val="center"/>
      <w:outlineLvl w:val="0"/>
    </w:pPr>
    <w:rPr>
      <w:rFonts w:ascii="黑体" w:hAnsi="Calibri" w:eastAsia="黑体" w:cs="Times New Roman"/>
      <w:kern w:val="0"/>
      <w:sz w:val="21"/>
      <w:szCs w:val="20"/>
      <w:lang w:val="en-US" w:eastAsia="zh-CN" w:bidi="ar-SA"/>
    </w:rPr>
  </w:style>
  <w:style w:type="paragraph" w:customStyle="1" w:styleId="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13">
    <w:name w:val="toc 7"/>
    <w:basedOn w:val="1"/>
    <w:next w:val="1"/>
    <w:unhideWhenUsed/>
    <w:qFormat/>
    <w:uiPriority w:val="39"/>
    <w:pPr>
      <w:tabs>
        <w:tab w:val="right" w:leader="dot" w:pos="9344"/>
      </w:tabs>
      <w:spacing w:line="300" w:lineRule="exact"/>
      <w:ind w:left="1259"/>
    </w:pPr>
    <w:rPr>
      <w:rFonts w:ascii="宋体"/>
    </w:rPr>
  </w:style>
  <w:style w:type="paragraph" w:styleId="14">
    <w:name w:val="Normal Indent"/>
    <w:basedOn w:val="1"/>
    <w:qFormat/>
    <w:uiPriority w:val="0"/>
    <w:pPr>
      <w:ind w:firstLine="420"/>
    </w:pPr>
  </w:style>
  <w:style w:type="paragraph" w:styleId="15">
    <w:name w:val="annotation text"/>
    <w:basedOn w:val="1"/>
    <w:link w:val="242"/>
    <w:semiHidden/>
    <w:unhideWhenUsed/>
    <w:qFormat/>
    <w:uiPriority w:val="99"/>
    <w:pPr>
      <w:jc w:val="left"/>
    </w:pPr>
  </w:style>
  <w:style w:type="paragraph" w:styleId="16">
    <w:name w:val="Body Text"/>
    <w:basedOn w:val="1"/>
    <w:link w:val="93"/>
    <w:qFormat/>
    <w:uiPriority w:val="0"/>
    <w:pPr>
      <w:spacing w:after="120"/>
    </w:pPr>
  </w:style>
  <w:style w:type="paragraph" w:styleId="17">
    <w:name w:val="toc 5"/>
    <w:basedOn w:val="1"/>
    <w:next w:val="1"/>
    <w:unhideWhenUsed/>
    <w:qFormat/>
    <w:uiPriority w:val="39"/>
    <w:pPr>
      <w:ind w:left="839"/>
    </w:pPr>
    <w:rPr>
      <w:rFonts w:ascii="宋体"/>
    </w:rPr>
  </w:style>
  <w:style w:type="paragraph" w:styleId="18">
    <w:name w:val="toc 3"/>
    <w:basedOn w:val="1"/>
    <w:next w:val="1"/>
    <w:unhideWhenUsed/>
    <w:qFormat/>
    <w:uiPriority w:val="39"/>
    <w:pPr>
      <w:spacing w:line="300" w:lineRule="exact"/>
      <w:ind w:left="420"/>
    </w:pPr>
    <w:rPr>
      <w:rFonts w:ascii="宋体"/>
    </w:rPr>
  </w:style>
  <w:style w:type="paragraph" w:styleId="19">
    <w:name w:val="Balloon Text"/>
    <w:basedOn w:val="1"/>
    <w:link w:val="52"/>
    <w:semiHidden/>
    <w:unhideWhenUsed/>
    <w:qFormat/>
    <w:uiPriority w:val="99"/>
    <w:rPr>
      <w:sz w:val="18"/>
      <w:szCs w:val="18"/>
    </w:rPr>
  </w:style>
  <w:style w:type="paragraph" w:styleId="20">
    <w:name w:val="footer"/>
    <w:basedOn w:val="1"/>
    <w:link w:val="51"/>
    <w:qFormat/>
    <w:uiPriority w:val="99"/>
    <w:pPr>
      <w:tabs>
        <w:tab w:val="center" w:pos="4153"/>
        <w:tab w:val="right" w:pos="8306"/>
      </w:tabs>
      <w:adjustRightInd/>
      <w:snapToGrid w:val="0"/>
      <w:spacing w:line="240" w:lineRule="auto"/>
      <w:jc w:val="right"/>
    </w:pPr>
    <w:rPr>
      <w:rFonts w:ascii="宋体"/>
      <w:sz w:val="18"/>
      <w:szCs w:val="18"/>
    </w:rPr>
  </w:style>
  <w:style w:type="paragraph" w:styleId="21">
    <w:name w:val="header"/>
    <w:basedOn w:val="1"/>
    <w:link w:val="50"/>
    <w:qFormat/>
    <w:uiPriority w:val="99"/>
    <w:pPr>
      <w:tabs>
        <w:tab w:val="center" w:pos="4153"/>
        <w:tab w:val="right" w:pos="8306"/>
      </w:tabs>
      <w:adjustRightInd/>
      <w:snapToGrid w:val="0"/>
      <w:jc w:val="center"/>
    </w:pPr>
    <w:rPr>
      <w:sz w:val="18"/>
      <w:szCs w:val="18"/>
    </w:rPr>
  </w:style>
  <w:style w:type="paragraph" w:styleId="22">
    <w:name w:val="toc 1"/>
    <w:basedOn w:val="1"/>
    <w:next w:val="1"/>
    <w:unhideWhenUsed/>
    <w:qFormat/>
    <w:uiPriority w:val="39"/>
    <w:rPr>
      <w:rFonts w:ascii="宋体"/>
    </w:rPr>
  </w:style>
  <w:style w:type="paragraph" w:styleId="23">
    <w:name w:val="toc 4"/>
    <w:basedOn w:val="1"/>
    <w:next w:val="1"/>
    <w:unhideWhenUsed/>
    <w:qFormat/>
    <w:uiPriority w:val="39"/>
    <w:pPr>
      <w:tabs>
        <w:tab w:val="right" w:leader="dot" w:pos="9344"/>
      </w:tabs>
      <w:spacing w:line="300" w:lineRule="exact"/>
      <w:ind w:left="629"/>
    </w:pPr>
    <w:rPr>
      <w:rFonts w:ascii="宋体"/>
    </w:rPr>
  </w:style>
  <w:style w:type="paragraph" w:styleId="24">
    <w:name w:val="List"/>
    <w:basedOn w:val="1"/>
    <w:unhideWhenUsed/>
    <w:qFormat/>
    <w:uiPriority w:val="0"/>
    <w:pPr>
      <w:ind w:left="200" w:hanging="200" w:hangingChars="200"/>
    </w:pPr>
  </w:style>
  <w:style w:type="paragraph" w:styleId="25">
    <w:name w:val="footnote text"/>
    <w:basedOn w:val="1"/>
    <w:next w:val="1"/>
    <w:link w:val="106"/>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6">
    <w:name w:val="toc 6"/>
    <w:basedOn w:val="1"/>
    <w:next w:val="1"/>
    <w:unhideWhenUsed/>
    <w:qFormat/>
    <w:uiPriority w:val="39"/>
    <w:pPr>
      <w:spacing w:line="300" w:lineRule="exact"/>
      <w:ind w:left="1049"/>
    </w:pPr>
    <w:rPr>
      <w:rFonts w:ascii="宋体"/>
    </w:rPr>
  </w:style>
  <w:style w:type="paragraph" w:styleId="27">
    <w:name w:val="table of figures"/>
    <w:basedOn w:val="1"/>
    <w:next w:val="1"/>
    <w:semiHidden/>
    <w:qFormat/>
    <w:uiPriority w:val="0"/>
    <w:pPr>
      <w:adjustRightInd/>
      <w:spacing w:line="240" w:lineRule="auto"/>
      <w:jc w:val="left"/>
    </w:pPr>
    <w:rPr>
      <w:szCs w:val="24"/>
    </w:rPr>
  </w:style>
  <w:style w:type="paragraph" w:styleId="28">
    <w:name w:val="toc 2"/>
    <w:basedOn w:val="1"/>
    <w:next w:val="1"/>
    <w:unhideWhenUsed/>
    <w:qFormat/>
    <w:uiPriority w:val="39"/>
    <w:pPr>
      <w:tabs>
        <w:tab w:val="right" w:leader="dot" w:pos="9344"/>
      </w:tabs>
      <w:spacing w:line="300" w:lineRule="exact"/>
      <w:ind w:left="210"/>
    </w:pPr>
    <w:rPr>
      <w:rFonts w:ascii="宋体"/>
    </w:rPr>
  </w:style>
  <w:style w:type="paragraph" w:styleId="29">
    <w:name w:val="Normal (Web)"/>
    <w:basedOn w:val="1"/>
    <w:semiHidden/>
    <w:unhideWhenUsed/>
    <w:qFormat/>
    <w:uiPriority w:val="99"/>
    <w:rPr>
      <w:sz w:val="24"/>
    </w:rPr>
  </w:style>
  <w:style w:type="paragraph" w:styleId="30">
    <w:name w:val="Title"/>
    <w:basedOn w:val="1"/>
    <w:link w:val="55"/>
    <w:qFormat/>
    <w:uiPriority w:val="0"/>
    <w:pPr>
      <w:spacing w:before="240" w:after="60"/>
      <w:jc w:val="center"/>
      <w:outlineLvl w:val="0"/>
    </w:pPr>
    <w:rPr>
      <w:rFonts w:ascii="Arial" w:hAnsi="Arial" w:cs="Arial"/>
      <w:b/>
      <w:bCs/>
      <w:sz w:val="32"/>
      <w:szCs w:val="32"/>
    </w:rPr>
  </w:style>
  <w:style w:type="paragraph" w:styleId="31">
    <w:name w:val="annotation subject"/>
    <w:basedOn w:val="15"/>
    <w:next w:val="15"/>
    <w:link w:val="243"/>
    <w:semiHidden/>
    <w:unhideWhenUsed/>
    <w:qFormat/>
    <w:uiPriority w:val="99"/>
    <w:rPr>
      <w:b/>
      <w:bCs/>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22"/>
    <w:rPr>
      <w:b/>
      <w:bCs/>
    </w:rPr>
  </w:style>
  <w:style w:type="character" w:styleId="36">
    <w:name w:val="page number"/>
    <w:qFormat/>
    <w:uiPriority w:val="0"/>
    <w:rPr>
      <w:rFonts w:ascii="宋体" w:hAnsi="Times New Roman" w:eastAsia="宋体"/>
      <w:sz w:val="18"/>
    </w:rPr>
  </w:style>
  <w:style w:type="character" w:styleId="37">
    <w:name w:val="Emphasis"/>
    <w:qFormat/>
    <w:uiPriority w:val="20"/>
    <w:rPr>
      <w:i/>
      <w:iCs/>
    </w:rPr>
  </w:style>
  <w:style w:type="character" w:styleId="38">
    <w:name w:val="Hyperlink"/>
    <w:qFormat/>
    <w:uiPriority w:val="99"/>
    <w:rPr>
      <w:rFonts w:ascii="宋体" w:hAnsi="Times New Roman" w:eastAsia="宋体"/>
      <w:color w:val="auto"/>
      <w:spacing w:val="0"/>
      <w:w w:val="100"/>
      <w:position w:val="0"/>
      <w:sz w:val="21"/>
      <w:u w:val="none"/>
      <w:vertAlign w:val="baseline"/>
    </w:rPr>
  </w:style>
  <w:style w:type="character" w:styleId="39">
    <w:name w:val="annotation reference"/>
    <w:basedOn w:val="34"/>
    <w:semiHidden/>
    <w:unhideWhenUsed/>
    <w:qFormat/>
    <w:uiPriority w:val="99"/>
    <w:rPr>
      <w:sz w:val="21"/>
      <w:szCs w:val="21"/>
    </w:rPr>
  </w:style>
  <w:style w:type="character" w:styleId="40">
    <w:name w:val="footnote reference"/>
    <w:semiHidden/>
    <w:qFormat/>
    <w:uiPriority w:val="0"/>
    <w:rPr>
      <w:rFonts w:ascii="宋体" w:hAnsi="宋体" w:eastAsia="宋体" w:cs="Times New Roman"/>
      <w:spacing w:val="0"/>
      <w:sz w:val="18"/>
      <w:vertAlign w:val="superscript"/>
    </w:rPr>
  </w:style>
  <w:style w:type="character" w:customStyle="1" w:styleId="41">
    <w:name w:val="标题 2 字符"/>
    <w:link w:val="5"/>
    <w:qFormat/>
    <w:uiPriority w:val="0"/>
    <w:rPr>
      <w:rFonts w:ascii="Arial" w:hAnsi="Arial" w:eastAsia="黑体"/>
      <w:b/>
      <w:bCs/>
      <w:kern w:val="2"/>
      <w:sz w:val="32"/>
      <w:szCs w:val="32"/>
    </w:rPr>
  </w:style>
  <w:style w:type="character" w:customStyle="1" w:styleId="42">
    <w:name w:val="标题 1 字符"/>
    <w:link w:val="4"/>
    <w:qFormat/>
    <w:uiPriority w:val="0"/>
    <w:rPr>
      <w:b/>
      <w:bCs/>
      <w:kern w:val="44"/>
      <w:sz w:val="44"/>
      <w:szCs w:val="44"/>
    </w:rPr>
  </w:style>
  <w:style w:type="character" w:customStyle="1" w:styleId="43">
    <w:name w:val="标题 3 字符"/>
    <w:link w:val="6"/>
    <w:qFormat/>
    <w:uiPriority w:val="0"/>
    <w:rPr>
      <w:b/>
      <w:bCs/>
      <w:kern w:val="2"/>
      <w:sz w:val="32"/>
      <w:szCs w:val="32"/>
    </w:rPr>
  </w:style>
  <w:style w:type="character" w:customStyle="1" w:styleId="44">
    <w:name w:val="标题 4 字符"/>
    <w:link w:val="7"/>
    <w:qFormat/>
    <w:uiPriority w:val="0"/>
    <w:rPr>
      <w:rFonts w:ascii="Arial" w:hAnsi="Arial" w:eastAsia="黑体"/>
      <w:b/>
      <w:bCs/>
      <w:kern w:val="2"/>
      <w:sz w:val="28"/>
      <w:szCs w:val="28"/>
    </w:rPr>
  </w:style>
  <w:style w:type="character" w:customStyle="1" w:styleId="45">
    <w:name w:val="标题 5 字符"/>
    <w:link w:val="8"/>
    <w:qFormat/>
    <w:uiPriority w:val="0"/>
    <w:rPr>
      <w:b/>
      <w:bCs/>
      <w:kern w:val="2"/>
      <w:sz w:val="28"/>
      <w:szCs w:val="28"/>
    </w:rPr>
  </w:style>
  <w:style w:type="character" w:customStyle="1" w:styleId="46">
    <w:name w:val="标题 6 字符"/>
    <w:link w:val="9"/>
    <w:qFormat/>
    <w:uiPriority w:val="0"/>
    <w:rPr>
      <w:rFonts w:ascii="Arial" w:hAnsi="Arial" w:eastAsia="黑体"/>
      <w:b/>
      <w:bCs/>
      <w:kern w:val="2"/>
      <w:sz w:val="24"/>
      <w:szCs w:val="24"/>
    </w:rPr>
  </w:style>
  <w:style w:type="character" w:customStyle="1" w:styleId="47">
    <w:name w:val="标题 7 字符"/>
    <w:link w:val="10"/>
    <w:qFormat/>
    <w:uiPriority w:val="0"/>
    <w:rPr>
      <w:b/>
      <w:bCs/>
      <w:kern w:val="2"/>
      <w:sz w:val="24"/>
      <w:szCs w:val="24"/>
    </w:rPr>
  </w:style>
  <w:style w:type="character" w:customStyle="1" w:styleId="48">
    <w:name w:val="标题 8 字符"/>
    <w:link w:val="11"/>
    <w:qFormat/>
    <w:uiPriority w:val="0"/>
    <w:rPr>
      <w:rFonts w:ascii="Arial" w:hAnsi="Arial" w:eastAsia="黑体"/>
      <w:kern w:val="2"/>
      <w:sz w:val="24"/>
      <w:szCs w:val="24"/>
    </w:rPr>
  </w:style>
  <w:style w:type="character" w:customStyle="1" w:styleId="49">
    <w:name w:val="标题 9 字符"/>
    <w:link w:val="12"/>
    <w:qFormat/>
    <w:uiPriority w:val="0"/>
    <w:rPr>
      <w:rFonts w:ascii="Arial" w:hAnsi="Arial" w:eastAsia="黑体"/>
      <w:kern w:val="2"/>
      <w:sz w:val="21"/>
      <w:szCs w:val="21"/>
    </w:rPr>
  </w:style>
  <w:style w:type="character" w:customStyle="1" w:styleId="50">
    <w:name w:val="页眉 字符"/>
    <w:link w:val="21"/>
    <w:qFormat/>
    <w:uiPriority w:val="99"/>
    <w:rPr>
      <w:kern w:val="2"/>
      <w:sz w:val="18"/>
      <w:szCs w:val="18"/>
    </w:rPr>
  </w:style>
  <w:style w:type="character" w:customStyle="1" w:styleId="51">
    <w:name w:val="页脚 字符"/>
    <w:link w:val="20"/>
    <w:qFormat/>
    <w:uiPriority w:val="99"/>
    <w:rPr>
      <w:rFonts w:ascii="宋体"/>
      <w:kern w:val="2"/>
      <w:sz w:val="18"/>
      <w:szCs w:val="18"/>
    </w:rPr>
  </w:style>
  <w:style w:type="character" w:customStyle="1" w:styleId="52">
    <w:name w:val="批注框文本 字符"/>
    <w:link w:val="19"/>
    <w:semiHidden/>
    <w:qFormat/>
    <w:uiPriority w:val="99"/>
    <w:rPr>
      <w:kern w:val="2"/>
      <w:sz w:val="18"/>
      <w:szCs w:val="18"/>
    </w:rPr>
  </w:style>
  <w:style w:type="paragraph" w:styleId="53">
    <w:name w:val="Quote"/>
    <w:basedOn w:val="1"/>
    <w:next w:val="1"/>
    <w:link w:val="54"/>
    <w:qFormat/>
    <w:uiPriority w:val="29"/>
    <w:rPr>
      <w:i/>
      <w:iCs/>
      <w:color w:val="000000"/>
    </w:rPr>
  </w:style>
  <w:style w:type="character" w:customStyle="1" w:styleId="54">
    <w:name w:val="引用 字符"/>
    <w:link w:val="53"/>
    <w:qFormat/>
    <w:uiPriority w:val="29"/>
    <w:rPr>
      <w:i/>
      <w:iCs/>
      <w:color w:val="000000"/>
      <w:kern w:val="2"/>
      <w:sz w:val="21"/>
      <w:szCs w:val="21"/>
    </w:rPr>
  </w:style>
  <w:style w:type="character" w:customStyle="1" w:styleId="55">
    <w:name w:val="标题 字符"/>
    <w:link w:val="30"/>
    <w:qFormat/>
    <w:uiPriority w:val="0"/>
    <w:rPr>
      <w:rFonts w:ascii="Arial" w:hAnsi="Arial" w:cs="Arial"/>
      <w:b/>
      <w:bCs/>
      <w:kern w:val="2"/>
      <w:sz w:val="32"/>
      <w:szCs w:val="32"/>
    </w:rPr>
  </w:style>
  <w:style w:type="paragraph" w:customStyle="1" w:styleId="56">
    <w:name w:val="标准标志"/>
    <w:next w:val="1"/>
    <w:link w:val="238"/>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7">
    <w:name w:val="标准称谓"/>
    <w:next w:val="1"/>
    <w:link w:val="237"/>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8">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9">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60">
    <w:name w:val="标准书眉一"/>
    <w:qFormat/>
    <w:uiPriority w:val="0"/>
    <w:pPr>
      <w:jc w:val="both"/>
    </w:pPr>
    <w:rPr>
      <w:rFonts w:ascii="Times New Roman" w:hAnsi="Times New Roman" w:eastAsia="宋体" w:cs="Times New Roman"/>
      <w:lang w:val="en-US" w:eastAsia="zh-CN" w:bidi="ar-SA"/>
    </w:rPr>
  </w:style>
  <w:style w:type="paragraph" w:customStyle="1" w:styleId="61">
    <w:name w:val="标准文件_ICS"/>
    <w:basedOn w:val="1"/>
    <w:qFormat/>
    <w:uiPriority w:val="0"/>
    <w:pPr>
      <w:spacing w:line="0" w:lineRule="atLeast"/>
    </w:pPr>
    <w:rPr>
      <w:rFonts w:ascii="黑体" w:hAnsi="宋体" w:eastAsia="黑体"/>
    </w:rPr>
  </w:style>
  <w:style w:type="paragraph" w:customStyle="1" w:styleId="62">
    <w:name w:val="标准文件_标准正文"/>
    <w:basedOn w:val="1"/>
    <w:next w:val="63"/>
    <w:qFormat/>
    <w:uiPriority w:val="0"/>
    <w:pPr>
      <w:snapToGrid w:val="0"/>
      <w:ind w:firstLine="200" w:firstLineChars="200"/>
    </w:pPr>
    <w:rPr>
      <w:kern w:val="0"/>
    </w:rPr>
  </w:style>
  <w:style w:type="paragraph" w:customStyle="1" w:styleId="63">
    <w:name w:val="标准文件_段"/>
    <w:link w:val="191"/>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4">
    <w:name w:val="标准文件_版本"/>
    <w:basedOn w:val="62"/>
    <w:qFormat/>
    <w:uiPriority w:val="0"/>
    <w:pPr>
      <w:adjustRightInd/>
      <w:snapToGrid/>
      <w:ind w:firstLine="0" w:firstLineChars="0"/>
    </w:pPr>
    <w:rPr>
      <w:rFonts w:ascii="宋体" w:hAnsi="宋体"/>
      <w:kern w:val="2"/>
    </w:rPr>
  </w:style>
  <w:style w:type="paragraph" w:customStyle="1" w:styleId="65">
    <w:name w:val="标准文件_标准部门"/>
    <w:basedOn w:val="1"/>
    <w:qFormat/>
    <w:uiPriority w:val="0"/>
    <w:pPr>
      <w:jc w:val="center"/>
    </w:pPr>
    <w:rPr>
      <w:rFonts w:ascii="黑体" w:eastAsia="黑体"/>
      <w:kern w:val="0"/>
      <w:sz w:val="44"/>
    </w:rPr>
  </w:style>
  <w:style w:type="paragraph" w:customStyle="1" w:styleId="66">
    <w:name w:val="标准文件_标准代替"/>
    <w:basedOn w:val="1"/>
    <w:next w:val="1"/>
    <w:qFormat/>
    <w:uiPriority w:val="0"/>
    <w:pPr>
      <w:spacing w:line="310" w:lineRule="exact"/>
      <w:jc w:val="right"/>
    </w:pPr>
    <w:rPr>
      <w:rFonts w:ascii="宋体" w:hAnsi="宋体"/>
      <w:kern w:val="0"/>
    </w:rPr>
  </w:style>
  <w:style w:type="paragraph" w:customStyle="1" w:styleId="67">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8">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9">
    <w:name w:val="标准文件_页眉偶数页"/>
    <w:basedOn w:val="68"/>
    <w:next w:val="1"/>
    <w:qFormat/>
    <w:uiPriority w:val="0"/>
    <w:pPr>
      <w:jc w:val="left"/>
    </w:pPr>
  </w:style>
  <w:style w:type="paragraph" w:customStyle="1" w:styleId="70">
    <w:name w:val="标准文件_参考文献标题"/>
    <w:basedOn w:val="1"/>
    <w:next w:val="1"/>
    <w:qFormat/>
    <w:uiPriority w:val="0"/>
    <w:pPr>
      <w:widowControl/>
      <w:shd w:val="clear" w:color="FFFFFF" w:fill="FFFFFF"/>
      <w:adjustRightInd/>
      <w:spacing w:before="560" w:after="280" w:line="240" w:lineRule="auto"/>
      <w:jc w:val="center"/>
      <w:outlineLvl w:val="0"/>
    </w:pPr>
    <w:rPr>
      <w:rFonts w:ascii="黑体" w:hAnsi="黑体" w:eastAsia="黑体"/>
      <w:kern w:val="0"/>
    </w:rPr>
  </w:style>
  <w:style w:type="paragraph" w:customStyle="1" w:styleId="71">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2">
    <w:name w:val="标准文件_二级条标题"/>
    <w:next w:val="63"/>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3">
    <w:name w:val="标准文件_发布"/>
    <w:qFormat/>
    <w:uiPriority w:val="0"/>
    <w:rPr>
      <w:rFonts w:ascii="黑体" w:eastAsia="黑体"/>
      <w:spacing w:val="0"/>
      <w:w w:val="100"/>
      <w:position w:val="3"/>
      <w:sz w:val="28"/>
    </w:rPr>
  </w:style>
  <w:style w:type="paragraph" w:customStyle="1" w:styleId="74">
    <w:name w:val="标准文件_方框数字列项"/>
    <w:basedOn w:val="63"/>
    <w:qFormat/>
    <w:uiPriority w:val="0"/>
    <w:pPr>
      <w:numPr>
        <w:ilvl w:val="0"/>
        <w:numId w:val="3"/>
      </w:numPr>
      <w:ind w:firstLine="0" w:firstLineChars="0"/>
    </w:pPr>
  </w:style>
  <w:style w:type="paragraph" w:customStyle="1" w:styleId="75">
    <w:name w:val="标准文件_封面标准编号"/>
    <w:basedOn w:val="1"/>
    <w:next w:val="66"/>
    <w:qFormat/>
    <w:uiPriority w:val="0"/>
    <w:pPr>
      <w:spacing w:line="310" w:lineRule="exact"/>
      <w:jc w:val="right"/>
    </w:pPr>
    <w:rPr>
      <w:rFonts w:ascii="黑体" w:eastAsia="黑体"/>
      <w:kern w:val="0"/>
      <w:sz w:val="28"/>
    </w:rPr>
  </w:style>
  <w:style w:type="paragraph" w:customStyle="1" w:styleId="76">
    <w:name w:val="标准文件_封面标准分类号"/>
    <w:basedOn w:val="1"/>
    <w:qFormat/>
    <w:uiPriority w:val="0"/>
    <w:rPr>
      <w:rFonts w:ascii="黑体" w:eastAsia="黑体"/>
      <w:b/>
      <w:kern w:val="0"/>
      <w:sz w:val="28"/>
    </w:rPr>
  </w:style>
  <w:style w:type="paragraph" w:customStyle="1" w:styleId="77">
    <w:name w:val="标准文件_封面标准名称"/>
    <w:basedOn w:val="1"/>
    <w:qFormat/>
    <w:uiPriority w:val="0"/>
    <w:pPr>
      <w:spacing w:line="240" w:lineRule="auto"/>
      <w:jc w:val="center"/>
    </w:pPr>
    <w:rPr>
      <w:rFonts w:ascii="黑体" w:eastAsia="黑体"/>
      <w:kern w:val="0"/>
      <w:sz w:val="52"/>
    </w:rPr>
  </w:style>
  <w:style w:type="paragraph" w:customStyle="1" w:styleId="78">
    <w:name w:val="标准文件_封面标准英文名称"/>
    <w:basedOn w:val="1"/>
    <w:qFormat/>
    <w:uiPriority w:val="0"/>
    <w:pPr>
      <w:spacing w:line="240" w:lineRule="auto"/>
      <w:jc w:val="center"/>
    </w:pPr>
    <w:rPr>
      <w:rFonts w:ascii="黑体" w:eastAsia="黑体"/>
      <w:b/>
      <w:sz w:val="28"/>
    </w:rPr>
  </w:style>
  <w:style w:type="paragraph" w:customStyle="1" w:styleId="79">
    <w:name w:val="标准文件_封面发布日期"/>
    <w:basedOn w:val="1"/>
    <w:qFormat/>
    <w:uiPriority w:val="0"/>
    <w:pPr>
      <w:spacing w:line="310" w:lineRule="exact"/>
    </w:pPr>
    <w:rPr>
      <w:rFonts w:ascii="黑体" w:eastAsia="黑体"/>
      <w:kern w:val="0"/>
      <w:sz w:val="28"/>
    </w:rPr>
  </w:style>
  <w:style w:type="paragraph" w:customStyle="1" w:styleId="80">
    <w:name w:val="标准文件_封面密级"/>
    <w:basedOn w:val="1"/>
    <w:qFormat/>
    <w:uiPriority w:val="0"/>
    <w:rPr>
      <w:rFonts w:eastAsia="黑体"/>
      <w:sz w:val="32"/>
    </w:rPr>
  </w:style>
  <w:style w:type="paragraph" w:customStyle="1" w:styleId="81">
    <w:name w:val="标准文件_封面实施日期"/>
    <w:basedOn w:val="1"/>
    <w:qFormat/>
    <w:uiPriority w:val="0"/>
    <w:pPr>
      <w:spacing w:line="310" w:lineRule="exact"/>
      <w:jc w:val="right"/>
    </w:pPr>
    <w:rPr>
      <w:rFonts w:ascii="黑体" w:eastAsia="黑体"/>
      <w:sz w:val="28"/>
    </w:rPr>
  </w:style>
  <w:style w:type="paragraph" w:customStyle="1" w:styleId="82">
    <w:name w:val="标准文件_封面抬头"/>
    <w:basedOn w:val="63"/>
    <w:qFormat/>
    <w:uiPriority w:val="0"/>
    <w:pPr>
      <w:adjustRightInd w:val="0"/>
      <w:spacing w:line="800" w:lineRule="exact"/>
      <w:ind w:firstLine="0" w:firstLineChars="0"/>
      <w:jc w:val="distribute"/>
    </w:pPr>
    <w:rPr>
      <w:rFonts w:ascii="黑体" w:eastAsia="黑体"/>
      <w:b/>
      <w:sz w:val="64"/>
    </w:rPr>
  </w:style>
  <w:style w:type="paragraph" w:customStyle="1" w:styleId="83">
    <w:name w:val="标准文件_附录标识"/>
    <w:next w:val="63"/>
    <w:qFormat/>
    <w:uiPriority w:val="0"/>
    <w:pPr>
      <w:numPr>
        <w:ilvl w:val="0"/>
        <w:numId w:val="4"/>
      </w:numPr>
      <w:shd w:val="clear" w:color="FFFFFF" w:fill="FFFFFF"/>
      <w:tabs>
        <w:tab w:val="left" w:pos="6406"/>
      </w:tabs>
      <w:spacing w:before="560" w:after="280"/>
      <w:jc w:val="center"/>
      <w:outlineLvl w:val="0"/>
    </w:pPr>
    <w:rPr>
      <w:rFonts w:ascii="黑体" w:hAnsi="黑体" w:eastAsia="黑体" w:cs="Times New Roman"/>
      <w:sz w:val="21"/>
      <w:lang w:val="en-US" w:eastAsia="zh-CN" w:bidi="ar-SA"/>
    </w:rPr>
  </w:style>
  <w:style w:type="paragraph" w:customStyle="1" w:styleId="84">
    <w:name w:val="标准文件_附录表标题"/>
    <w:next w:val="63"/>
    <w:qFormat/>
    <w:uiPriority w:val="0"/>
    <w:pPr>
      <w:numPr>
        <w:ilvl w:val="1"/>
        <w:numId w:val="5"/>
      </w:numPr>
      <w:adjustRightInd w:val="0"/>
      <w:snapToGrid w:val="0"/>
      <w:spacing w:before="50" w:beforeLines="50" w:after="50" w:afterLines="50"/>
      <w:jc w:val="center"/>
      <w:textAlignment w:val="baseline"/>
    </w:pPr>
    <w:rPr>
      <w:rFonts w:ascii="黑体" w:hAnsi="黑体" w:eastAsia="黑体" w:cs="Times New Roman"/>
      <w:kern w:val="21"/>
      <w:sz w:val="21"/>
      <w:lang w:val="en-US" w:eastAsia="zh-CN" w:bidi="ar-SA"/>
    </w:rPr>
  </w:style>
  <w:style w:type="paragraph" w:customStyle="1" w:styleId="85">
    <w:name w:val="标准文件_附录一级条标题"/>
    <w:next w:val="63"/>
    <w:qFormat/>
    <w:uiPriority w:val="0"/>
    <w:pPr>
      <w:widowControl w:val="0"/>
      <w:numPr>
        <w:ilvl w:val="1"/>
        <w:numId w:val="4"/>
      </w:numPr>
      <w:spacing w:before="50" w:beforeLines="50" w:after="50" w:afterLines="50"/>
      <w:jc w:val="both"/>
      <w:outlineLvl w:val="1"/>
    </w:pPr>
    <w:rPr>
      <w:rFonts w:ascii="黑体" w:hAnsi="黑体" w:eastAsia="黑体" w:cs="Times New Roman"/>
      <w:kern w:val="21"/>
      <w:sz w:val="21"/>
      <w:lang w:val="en-US" w:eastAsia="zh-CN" w:bidi="ar-SA"/>
    </w:rPr>
  </w:style>
  <w:style w:type="paragraph" w:customStyle="1" w:styleId="86">
    <w:name w:val="标准文件_附录二级条标题"/>
    <w:basedOn w:val="85"/>
    <w:next w:val="63"/>
    <w:qFormat/>
    <w:uiPriority w:val="0"/>
    <w:pPr>
      <w:widowControl/>
      <w:numPr>
        <w:ilvl w:val="2"/>
      </w:numPr>
      <w:wordWrap w:val="0"/>
      <w:overflowPunct w:val="0"/>
      <w:autoSpaceDE w:val="0"/>
      <w:autoSpaceDN w:val="0"/>
      <w:textAlignment w:val="baseline"/>
      <w:outlineLvl w:val="2"/>
    </w:pPr>
  </w:style>
  <w:style w:type="paragraph" w:customStyle="1" w:styleId="87">
    <w:name w:val="标准文件_附录公式"/>
    <w:basedOn w:val="62"/>
    <w:next w:val="62"/>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8">
    <w:name w:val="标准文件_附录三级条标题"/>
    <w:next w:val="63"/>
    <w:qFormat/>
    <w:uiPriority w:val="0"/>
    <w:pPr>
      <w:widowControl w:val="0"/>
      <w:numPr>
        <w:ilvl w:val="3"/>
        <w:numId w:val="4"/>
      </w:numPr>
      <w:spacing w:before="50" w:beforeLines="50" w:after="50" w:afterLines="50"/>
      <w:jc w:val="both"/>
      <w:outlineLvl w:val="3"/>
    </w:pPr>
    <w:rPr>
      <w:rFonts w:ascii="黑体" w:hAnsi="黑体" w:eastAsia="黑体" w:cs="Times New Roman"/>
      <w:kern w:val="21"/>
      <w:sz w:val="21"/>
      <w:lang w:val="en-US" w:eastAsia="zh-CN" w:bidi="ar-SA"/>
    </w:rPr>
  </w:style>
  <w:style w:type="paragraph" w:customStyle="1" w:styleId="89">
    <w:name w:val="标准文件_附录四级条标题"/>
    <w:next w:val="63"/>
    <w:qFormat/>
    <w:uiPriority w:val="0"/>
    <w:pPr>
      <w:widowControl w:val="0"/>
      <w:numPr>
        <w:ilvl w:val="4"/>
        <w:numId w:val="4"/>
      </w:numPr>
      <w:spacing w:before="50" w:beforeLines="50" w:after="50" w:afterLines="50"/>
      <w:jc w:val="both"/>
      <w:outlineLvl w:val="4"/>
    </w:pPr>
    <w:rPr>
      <w:rFonts w:ascii="黑体" w:hAnsi="黑体" w:eastAsia="黑体" w:cs="Times New Roman"/>
      <w:kern w:val="21"/>
      <w:sz w:val="21"/>
      <w:lang w:val="en-US" w:eastAsia="zh-CN" w:bidi="ar-SA"/>
    </w:rPr>
  </w:style>
  <w:style w:type="paragraph" w:customStyle="1" w:styleId="90">
    <w:name w:val="标准文件_附录图标题"/>
    <w:next w:val="63"/>
    <w:qFormat/>
    <w:uiPriority w:val="0"/>
    <w:pPr>
      <w:numPr>
        <w:ilvl w:val="1"/>
        <w:numId w:val="6"/>
      </w:numPr>
      <w:adjustRightInd w:val="0"/>
      <w:snapToGrid w:val="0"/>
      <w:spacing w:before="50" w:beforeLines="50" w:after="50" w:afterLines="50"/>
      <w:jc w:val="center"/>
    </w:pPr>
    <w:rPr>
      <w:rFonts w:ascii="黑体" w:hAnsi="黑体" w:eastAsia="黑体" w:cs="Times New Roman"/>
      <w:sz w:val="21"/>
      <w:lang w:val="en-US" w:eastAsia="zh-CN" w:bidi="ar-SA"/>
    </w:rPr>
  </w:style>
  <w:style w:type="paragraph" w:customStyle="1" w:styleId="91">
    <w:name w:val="标准文件_附录五级条标题"/>
    <w:next w:val="63"/>
    <w:qFormat/>
    <w:uiPriority w:val="0"/>
    <w:pPr>
      <w:widowControl w:val="0"/>
      <w:numPr>
        <w:ilvl w:val="5"/>
        <w:numId w:val="4"/>
      </w:numPr>
      <w:spacing w:before="50" w:beforeLines="50" w:after="50" w:afterLines="50"/>
      <w:jc w:val="both"/>
      <w:outlineLvl w:val="5"/>
    </w:pPr>
    <w:rPr>
      <w:rFonts w:ascii="黑体" w:hAnsi="黑体" w:eastAsia="黑体" w:cs="Times New Roman"/>
      <w:kern w:val="21"/>
      <w:sz w:val="21"/>
      <w:lang w:val="en-US" w:eastAsia="zh-CN" w:bidi="ar-SA"/>
    </w:rPr>
  </w:style>
  <w:style w:type="paragraph" w:customStyle="1" w:styleId="92">
    <w:name w:val="标准文件_附录英文标识"/>
    <w:next w:val="16"/>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3">
    <w:name w:val="正文文本 字符"/>
    <w:link w:val="16"/>
    <w:qFormat/>
    <w:uiPriority w:val="0"/>
    <w:rPr>
      <w:kern w:val="2"/>
      <w:sz w:val="21"/>
      <w:szCs w:val="21"/>
    </w:rPr>
  </w:style>
  <w:style w:type="paragraph" w:customStyle="1" w:styleId="94">
    <w:name w:val="标准文件_附录章标题"/>
    <w:next w:val="63"/>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5">
    <w:name w:val="标准文件_公式后的破折号"/>
    <w:basedOn w:val="63"/>
    <w:next w:val="63"/>
    <w:qFormat/>
    <w:uiPriority w:val="0"/>
    <w:pPr>
      <w:ind w:left="488" w:leftChars="200" w:hanging="289" w:hangingChars="290"/>
    </w:pPr>
  </w:style>
  <w:style w:type="paragraph" w:customStyle="1" w:styleId="96">
    <w:name w:val="标准文件_前言、引言标题"/>
    <w:next w:val="1"/>
    <w:qFormat/>
    <w:uiPriority w:val="0"/>
    <w:pPr>
      <w:numPr>
        <w:ilvl w:val="0"/>
        <w:numId w:val="8"/>
      </w:numPr>
      <w:shd w:val="clear" w:color="FFFFFF" w:fill="FFFFFF"/>
      <w:spacing w:before="560" w:after="680"/>
      <w:jc w:val="center"/>
      <w:outlineLvl w:val="0"/>
    </w:pPr>
    <w:rPr>
      <w:rFonts w:ascii="黑体" w:hAnsi="黑体" w:eastAsia="黑体" w:cs="Times New Roman"/>
      <w:sz w:val="32"/>
      <w:lang w:val="en-US" w:eastAsia="zh-CN" w:bidi="ar-SA"/>
    </w:rPr>
  </w:style>
  <w:style w:type="paragraph" w:customStyle="1" w:styleId="97">
    <w:name w:val="标准文件_目次、标准名称标题"/>
    <w:basedOn w:val="96"/>
    <w:next w:val="63"/>
    <w:qFormat/>
    <w:uiPriority w:val="0"/>
    <w:pPr>
      <w:spacing w:line="460" w:lineRule="exact"/>
      <w:ind w:left="0" w:firstLine="0"/>
    </w:pPr>
  </w:style>
  <w:style w:type="paragraph" w:customStyle="1" w:styleId="98">
    <w:name w:val="标准文件_目录标题"/>
    <w:basedOn w:val="1"/>
    <w:qFormat/>
    <w:uiPriority w:val="0"/>
    <w:pPr>
      <w:spacing w:before="560" w:after="680" w:line="240" w:lineRule="auto"/>
      <w:jc w:val="center"/>
    </w:pPr>
    <w:rPr>
      <w:rFonts w:ascii="黑体" w:hAnsi="黑体" w:eastAsia="黑体"/>
      <w:sz w:val="32"/>
    </w:rPr>
  </w:style>
  <w:style w:type="paragraph" w:customStyle="1" w:styleId="99">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100">
    <w:name w:val="标准文件_破折号列项（二级）"/>
    <w:basedOn w:val="99"/>
    <w:qFormat/>
    <w:uiPriority w:val="0"/>
    <w:pPr>
      <w:numPr>
        <w:numId w:val="10"/>
      </w:numPr>
    </w:pPr>
  </w:style>
  <w:style w:type="paragraph" w:customStyle="1" w:styleId="101">
    <w:name w:val="标准文件_三级条标题"/>
    <w:basedOn w:val="72"/>
    <w:next w:val="63"/>
    <w:qFormat/>
    <w:uiPriority w:val="0"/>
    <w:pPr>
      <w:widowControl/>
      <w:numPr>
        <w:ilvl w:val="4"/>
      </w:numPr>
      <w:outlineLvl w:val="3"/>
    </w:pPr>
  </w:style>
  <w:style w:type="character" w:customStyle="1" w:styleId="102">
    <w:name w:val="不明显参考1"/>
    <w:qFormat/>
    <w:uiPriority w:val="31"/>
    <w:rPr>
      <w:smallCaps/>
      <w:color w:val="C0504D"/>
      <w:u w:val="single"/>
    </w:rPr>
  </w:style>
  <w:style w:type="paragraph" w:customStyle="1" w:styleId="103">
    <w:name w:val="标准文件_示例后续"/>
    <w:basedOn w:val="1"/>
    <w:qFormat/>
    <w:uiPriority w:val="0"/>
    <w:pPr>
      <w:adjustRightInd/>
      <w:spacing w:line="240" w:lineRule="auto"/>
      <w:ind w:firstLine="200" w:firstLineChars="200"/>
    </w:pPr>
    <w:rPr>
      <w:sz w:val="18"/>
      <w:szCs w:val="24"/>
    </w:rPr>
  </w:style>
  <w:style w:type="paragraph" w:customStyle="1" w:styleId="104">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5">
    <w:name w:val="标准文件_四级条标题"/>
    <w:next w:val="63"/>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6">
    <w:name w:val="脚注文本 字符"/>
    <w:link w:val="25"/>
    <w:semiHidden/>
    <w:qFormat/>
    <w:uiPriority w:val="0"/>
    <w:rPr>
      <w:rFonts w:ascii="宋体"/>
      <w:kern w:val="2"/>
      <w:sz w:val="18"/>
      <w:szCs w:val="18"/>
    </w:rPr>
  </w:style>
  <w:style w:type="paragraph" w:customStyle="1" w:styleId="107">
    <w:name w:val="标准文件_条文脚注"/>
    <w:basedOn w:val="25"/>
    <w:qFormat/>
    <w:uiPriority w:val="0"/>
    <w:pPr>
      <w:adjustRightInd w:val="0"/>
      <w:spacing w:line="240" w:lineRule="auto"/>
      <w:ind w:left="0" w:leftChars="0" w:firstLine="200" w:firstLineChars="200"/>
      <w:jc w:val="both"/>
    </w:pPr>
    <w:rPr>
      <w:rFonts w:hAnsi="宋体"/>
    </w:rPr>
  </w:style>
  <w:style w:type="paragraph" w:customStyle="1" w:styleId="108">
    <w:name w:val="标准文件_图表脚注"/>
    <w:basedOn w:val="1"/>
    <w:next w:val="63"/>
    <w:qFormat/>
    <w:uiPriority w:val="0"/>
    <w:pPr>
      <w:numPr>
        <w:ilvl w:val="0"/>
        <w:numId w:val="12"/>
      </w:numPr>
      <w:spacing w:line="240" w:lineRule="auto"/>
      <w:jc w:val="left"/>
    </w:pPr>
    <w:rPr>
      <w:rFonts w:ascii="宋体" w:hAnsi="宋体"/>
      <w:sz w:val="18"/>
    </w:rPr>
  </w:style>
  <w:style w:type="character" w:customStyle="1" w:styleId="109">
    <w:name w:val="标准文件_图表脚注内容"/>
    <w:qFormat/>
    <w:uiPriority w:val="0"/>
    <w:rPr>
      <w:rFonts w:ascii="宋体" w:hAnsi="宋体" w:eastAsia="宋体" w:cs="Times New Roman"/>
      <w:spacing w:val="0"/>
      <w:sz w:val="18"/>
      <w:vertAlign w:val="superscript"/>
    </w:rPr>
  </w:style>
  <w:style w:type="paragraph" w:customStyle="1" w:styleId="110">
    <w:name w:val="标准文件_五级条标题"/>
    <w:next w:val="63"/>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11">
    <w:name w:val="标准文件_章标题"/>
    <w:next w:val="63"/>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2">
    <w:name w:val="标准文件_一级条标题"/>
    <w:basedOn w:val="111"/>
    <w:next w:val="63"/>
    <w:qFormat/>
    <w:uiPriority w:val="0"/>
    <w:pPr>
      <w:numPr>
        <w:ilvl w:val="2"/>
      </w:numPr>
      <w:spacing w:before="50" w:beforeLines="50" w:after="50" w:afterLines="50"/>
      <w:outlineLvl w:val="1"/>
    </w:pPr>
  </w:style>
  <w:style w:type="paragraph" w:customStyle="1" w:styleId="113">
    <w:name w:val="标准文件_一致程度"/>
    <w:basedOn w:val="1"/>
    <w:qFormat/>
    <w:uiPriority w:val="0"/>
    <w:pPr>
      <w:spacing w:line="440" w:lineRule="exact"/>
      <w:jc w:val="center"/>
    </w:pPr>
    <w:rPr>
      <w:sz w:val="28"/>
    </w:rPr>
  </w:style>
  <w:style w:type="paragraph" w:customStyle="1" w:styleId="114">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5">
    <w:name w:val="标准文件_英文图表脚注"/>
    <w:basedOn w:val="62"/>
    <w:qFormat/>
    <w:uiPriority w:val="0"/>
    <w:pPr>
      <w:widowControl/>
      <w:adjustRightInd/>
      <w:snapToGrid/>
      <w:spacing w:line="240" w:lineRule="auto"/>
      <w:ind w:left="79" w:hanging="79" w:hangingChars="80"/>
    </w:pPr>
    <w:rPr>
      <w:rFonts w:ascii="宋体" w:hAnsi="宋体"/>
    </w:rPr>
  </w:style>
  <w:style w:type="paragraph" w:customStyle="1" w:styleId="116">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7">
    <w:name w:val="标准文件_英文注："/>
    <w:basedOn w:val="1"/>
    <w:next w:val="63"/>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8">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9">
    <w:name w:val="标准文件_正文表标题"/>
    <w:next w:val="63"/>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公式"/>
    <w:basedOn w:val="1"/>
    <w:next w:val="62"/>
    <w:qFormat/>
    <w:uiPriority w:val="0"/>
    <w:pPr>
      <w:tabs>
        <w:tab w:val="center" w:pos="4678"/>
        <w:tab w:val="right" w:leader="middleDot" w:pos="9356"/>
      </w:tabs>
      <w:spacing w:line="240" w:lineRule="auto"/>
    </w:pPr>
    <w:rPr>
      <w:rFonts w:ascii="宋体" w:hAnsi="宋体"/>
    </w:rPr>
  </w:style>
  <w:style w:type="paragraph" w:customStyle="1" w:styleId="121">
    <w:name w:val="标准文件_正文图标题"/>
    <w:next w:val="63"/>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2">
    <w:name w:val="标准文件_正文英文表标题"/>
    <w:next w:val="63"/>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3">
    <w:name w:val="标准文件_正文英文图标题"/>
    <w:next w:val="63"/>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4">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5">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6">
    <w:name w:val="发布部门"/>
    <w:next w:val="63"/>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7">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8">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9">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3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2">
    <w:name w:val="封面标准英文名称"/>
    <w:qFormat/>
    <w:uiPriority w:val="0"/>
    <w:pPr>
      <w:widowControl w:val="0"/>
      <w:spacing w:line="360" w:lineRule="exact"/>
      <w:jc w:val="center"/>
    </w:pPr>
    <w:rPr>
      <w:rFonts w:ascii="黑体" w:hAnsi="黑体" w:eastAsia="黑体" w:cs="Times New Roman"/>
      <w:sz w:val="28"/>
      <w:lang w:val="en-US" w:eastAsia="zh-CN" w:bidi="ar-SA"/>
    </w:rPr>
  </w:style>
  <w:style w:type="paragraph" w:customStyle="1" w:styleId="133">
    <w:name w:val="封面一致性程度标识"/>
    <w:link w:val="239"/>
    <w:qFormat/>
    <w:uiPriority w:val="0"/>
    <w:pPr>
      <w:spacing w:before="440" w:line="440" w:lineRule="exact"/>
      <w:jc w:val="center"/>
    </w:pPr>
    <w:rPr>
      <w:rFonts w:ascii="黑体" w:hAnsi="黑体" w:eastAsia="黑体" w:cs="黑体"/>
      <w:sz w:val="28"/>
      <w:lang w:val="en-US" w:eastAsia="zh-CN" w:bidi="ar-SA"/>
    </w:rPr>
  </w:style>
  <w:style w:type="paragraph" w:customStyle="1" w:styleId="134">
    <w:name w:val="封面正文"/>
    <w:qFormat/>
    <w:uiPriority w:val="0"/>
    <w:pPr>
      <w:jc w:val="both"/>
    </w:pPr>
    <w:rPr>
      <w:rFonts w:ascii="Times New Roman" w:hAnsi="Times New Roman" w:eastAsia="宋体" w:cs="Times New Roman"/>
      <w:lang w:val="en-US" w:eastAsia="zh-CN" w:bidi="ar-SA"/>
    </w:rPr>
  </w:style>
  <w:style w:type="paragraph" w:customStyle="1" w:styleId="135">
    <w:name w:val="附录二级无标题条"/>
    <w:basedOn w:val="1"/>
    <w:next w:val="63"/>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6">
    <w:name w:val="附录三级无标题条"/>
    <w:basedOn w:val="135"/>
    <w:next w:val="63"/>
    <w:qFormat/>
    <w:uiPriority w:val="0"/>
    <w:pPr>
      <w:outlineLvl w:val="4"/>
    </w:pPr>
  </w:style>
  <w:style w:type="paragraph" w:customStyle="1" w:styleId="137">
    <w:name w:val="附录四级无标题条"/>
    <w:basedOn w:val="136"/>
    <w:next w:val="63"/>
    <w:qFormat/>
    <w:uiPriority w:val="0"/>
    <w:pPr>
      <w:outlineLvl w:val="5"/>
    </w:pPr>
  </w:style>
  <w:style w:type="paragraph" w:customStyle="1" w:styleId="138">
    <w:name w:val="附录图"/>
    <w:next w:val="63"/>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9">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40">
    <w:name w:val="附录五级无标题条"/>
    <w:basedOn w:val="137"/>
    <w:next w:val="63"/>
    <w:qFormat/>
    <w:uiPriority w:val="0"/>
    <w:pPr>
      <w:outlineLvl w:val="6"/>
    </w:pPr>
  </w:style>
  <w:style w:type="paragraph" w:customStyle="1" w:styleId="141">
    <w:name w:val="附录性质"/>
    <w:basedOn w:val="1"/>
    <w:qFormat/>
    <w:uiPriority w:val="0"/>
    <w:pPr>
      <w:widowControl/>
      <w:adjustRightInd/>
      <w:jc w:val="center"/>
    </w:pPr>
    <w:rPr>
      <w:rFonts w:ascii="黑体" w:eastAsia="黑体"/>
    </w:rPr>
  </w:style>
  <w:style w:type="paragraph" w:customStyle="1" w:styleId="142">
    <w:name w:val="附录一级无标题条"/>
    <w:basedOn w:val="94"/>
    <w:next w:val="63"/>
    <w:qFormat/>
    <w:uiPriority w:val="0"/>
    <w:pPr>
      <w:autoSpaceDN w:val="0"/>
      <w:outlineLvl w:val="2"/>
    </w:pPr>
    <w:rPr>
      <w:rFonts w:ascii="宋体" w:hAnsi="宋体" w:eastAsia="宋体"/>
    </w:rPr>
  </w:style>
  <w:style w:type="character" w:customStyle="1" w:styleId="143">
    <w:name w:val="个人答复风格"/>
    <w:qFormat/>
    <w:uiPriority w:val="0"/>
    <w:rPr>
      <w:rFonts w:ascii="Arial" w:hAnsi="Arial" w:eastAsia="宋体" w:cs="Arial"/>
      <w:color w:val="auto"/>
      <w:spacing w:val="0"/>
      <w:sz w:val="20"/>
    </w:rPr>
  </w:style>
  <w:style w:type="character" w:customStyle="1" w:styleId="144">
    <w:name w:val="个人撰写风格"/>
    <w:qFormat/>
    <w:uiPriority w:val="0"/>
    <w:rPr>
      <w:rFonts w:ascii="Arial" w:hAnsi="Arial" w:eastAsia="宋体" w:cs="Arial"/>
      <w:color w:val="auto"/>
      <w:spacing w:val="0"/>
      <w:sz w:val="20"/>
    </w:rPr>
  </w:style>
  <w:style w:type="paragraph" w:customStyle="1" w:styleId="145">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6">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7">
    <w:name w:val="列项·"/>
    <w:basedOn w:val="63"/>
    <w:qFormat/>
    <w:uiPriority w:val="0"/>
    <w:pPr>
      <w:tabs>
        <w:tab w:val="left" w:pos="840"/>
      </w:tabs>
    </w:pPr>
  </w:style>
  <w:style w:type="paragraph" w:customStyle="1" w:styleId="14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9">
    <w:name w:val="目录 21"/>
    <w:basedOn w:val="1"/>
    <w:next w:val="1"/>
    <w:semiHidden/>
    <w:qFormat/>
    <w:uiPriority w:val="0"/>
    <w:pPr>
      <w:adjustRightInd/>
      <w:spacing w:line="240" w:lineRule="auto"/>
      <w:jc w:val="left"/>
    </w:pPr>
    <w:rPr>
      <w:bCs/>
      <w:iCs/>
    </w:rPr>
  </w:style>
  <w:style w:type="paragraph" w:customStyle="1" w:styleId="150">
    <w:name w:val="目录 31"/>
    <w:basedOn w:val="1"/>
    <w:next w:val="1"/>
    <w:semiHidden/>
    <w:qFormat/>
    <w:uiPriority w:val="0"/>
    <w:pPr>
      <w:spacing w:line="240" w:lineRule="auto"/>
    </w:pPr>
    <w:rPr>
      <w:rFonts w:ascii="宋体" w:hAnsi="宋体"/>
      <w:iCs/>
    </w:rPr>
  </w:style>
  <w:style w:type="paragraph" w:customStyle="1" w:styleId="151">
    <w:name w:val="目录 41"/>
    <w:basedOn w:val="1"/>
    <w:next w:val="1"/>
    <w:semiHidden/>
    <w:qFormat/>
    <w:uiPriority w:val="0"/>
    <w:pPr>
      <w:adjustRightInd/>
      <w:spacing w:line="240" w:lineRule="auto"/>
      <w:jc w:val="left"/>
    </w:pPr>
  </w:style>
  <w:style w:type="paragraph" w:customStyle="1" w:styleId="152">
    <w:name w:val="目录 51"/>
    <w:basedOn w:val="1"/>
    <w:next w:val="1"/>
    <w:semiHidden/>
    <w:qFormat/>
    <w:uiPriority w:val="0"/>
    <w:pPr>
      <w:spacing w:line="240" w:lineRule="auto"/>
    </w:pPr>
    <w:rPr>
      <w:rFonts w:ascii="宋体" w:hAnsi="宋体"/>
    </w:rPr>
  </w:style>
  <w:style w:type="paragraph" w:customStyle="1" w:styleId="153">
    <w:name w:val="目录 61"/>
    <w:basedOn w:val="1"/>
    <w:next w:val="1"/>
    <w:semiHidden/>
    <w:qFormat/>
    <w:uiPriority w:val="0"/>
    <w:pPr>
      <w:adjustRightInd/>
      <w:spacing w:line="240" w:lineRule="auto"/>
      <w:jc w:val="left"/>
    </w:pPr>
  </w:style>
  <w:style w:type="paragraph" w:customStyle="1" w:styleId="154">
    <w:name w:val="目录 71"/>
    <w:basedOn w:val="153"/>
    <w:semiHidden/>
    <w:qFormat/>
    <w:uiPriority w:val="0"/>
    <w:pPr>
      <w:ind w:left="1260"/>
    </w:pPr>
  </w:style>
  <w:style w:type="paragraph" w:customStyle="1" w:styleId="155">
    <w:name w:val="目录 81"/>
    <w:basedOn w:val="154"/>
    <w:semiHidden/>
    <w:qFormat/>
    <w:uiPriority w:val="0"/>
    <w:pPr>
      <w:ind w:left="1470"/>
    </w:pPr>
  </w:style>
  <w:style w:type="paragraph" w:customStyle="1" w:styleId="156">
    <w:name w:val="目录 91"/>
    <w:basedOn w:val="155"/>
    <w:semiHidden/>
    <w:qFormat/>
    <w:uiPriority w:val="0"/>
    <w:pPr>
      <w:ind w:left="1680"/>
    </w:pPr>
  </w:style>
  <w:style w:type="paragraph" w:customStyle="1" w:styleId="157">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8">
    <w:name w:val="其他发布部门"/>
    <w:basedOn w:val="126"/>
    <w:qFormat/>
    <w:uiPriority w:val="0"/>
    <w:pPr>
      <w:framePr w:wrap="around"/>
      <w:spacing w:line="0" w:lineRule="atLeast"/>
    </w:pPr>
    <w:rPr>
      <w:rFonts w:ascii="黑体" w:eastAsia="黑体"/>
      <w:b w:val="0"/>
    </w:rPr>
  </w:style>
  <w:style w:type="paragraph" w:customStyle="1" w:styleId="159">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60">
    <w:name w:val="三级无标题条"/>
    <w:basedOn w:val="1"/>
    <w:qFormat/>
    <w:uiPriority w:val="0"/>
    <w:pPr>
      <w:numPr>
        <w:ilvl w:val="4"/>
        <w:numId w:val="20"/>
      </w:numPr>
      <w:adjustRightInd/>
      <w:spacing w:line="240" w:lineRule="auto"/>
    </w:pPr>
    <w:rPr>
      <w:rFonts w:ascii="宋体" w:hAnsi="宋体"/>
      <w:szCs w:val="24"/>
    </w:rPr>
  </w:style>
  <w:style w:type="paragraph" w:customStyle="1" w:styleId="161">
    <w:name w:val="实施日期"/>
    <w:basedOn w:val="127"/>
    <w:qFormat/>
    <w:uiPriority w:val="0"/>
    <w:pPr>
      <w:framePr w:hSpace="0" w:wrap="around" w:xAlign="right"/>
      <w:jc w:val="right"/>
    </w:pPr>
  </w:style>
  <w:style w:type="paragraph" w:customStyle="1" w:styleId="162">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3">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4">
    <w:name w:val="无标题条"/>
    <w:next w:val="63"/>
    <w:qFormat/>
    <w:uiPriority w:val="0"/>
    <w:pPr>
      <w:jc w:val="both"/>
    </w:pPr>
    <w:rPr>
      <w:rFonts w:ascii="宋体" w:hAnsi="宋体" w:eastAsia="宋体" w:cs="Times New Roman"/>
      <w:sz w:val="21"/>
      <w:lang w:val="en-US" w:eastAsia="zh-CN" w:bidi="ar-SA"/>
    </w:rPr>
  </w:style>
  <w:style w:type="paragraph" w:customStyle="1" w:styleId="165">
    <w:name w:val="五级无标题条"/>
    <w:basedOn w:val="1"/>
    <w:qFormat/>
    <w:uiPriority w:val="0"/>
    <w:pPr>
      <w:numPr>
        <w:ilvl w:val="6"/>
        <w:numId w:val="20"/>
      </w:numPr>
      <w:adjustRightInd/>
    </w:pPr>
    <w:rPr>
      <w:szCs w:val="24"/>
    </w:rPr>
  </w:style>
  <w:style w:type="paragraph" w:customStyle="1" w:styleId="166">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7">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8">
    <w:name w:val="注×:后续"/>
    <w:basedOn w:val="167"/>
    <w:qFormat/>
    <w:uiPriority w:val="0"/>
    <w:pPr>
      <w:ind w:left="1406" w:leftChars="0" w:hanging="499" w:firstLineChars="0"/>
    </w:pPr>
  </w:style>
  <w:style w:type="paragraph" w:customStyle="1" w:styleId="169">
    <w:name w:val="标准文件_一级无标题"/>
    <w:basedOn w:val="112"/>
    <w:qFormat/>
    <w:uiPriority w:val="0"/>
    <w:pPr>
      <w:spacing w:before="0" w:beforeLines="0" w:after="0" w:afterLines="0"/>
      <w:outlineLvl w:val="9"/>
    </w:pPr>
    <w:rPr>
      <w:rFonts w:ascii="宋体" w:eastAsia="宋体"/>
    </w:rPr>
  </w:style>
  <w:style w:type="paragraph" w:customStyle="1" w:styleId="170">
    <w:name w:val="标准文件_五级无标题"/>
    <w:basedOn w:val="110"/>
    <w:qFormat/>
    <w:uiPriority w:val="0"/>
    <w:pPr>
      <w:spacing w:before="0" w:beforeLines="0" w:after="0" w:afterLines="0"/>
      <w:outlineLvl w:val="9"/>
    </w:pPr>
    <w:rPr>
      <w:rFonts w:ascii="宋体" w:eastAsia="宋体"/>
    </w:rPr>
  </w:style>
  <w:style w:type="paragraph" w:customStyle="1" w:styleId="171">
    <w:name w:val="标准文件_三级无标题"/>
    <w:basedOn w:val="101"/>
    <w:qFormat/>
    <w:uiPriority w:val="0"/>
    <w:pPr>
      <w:spacing w:before="0" w:beforeLines="0" w:after="0" w:afterLines="0"/>
      <w:outlineLvl w:val="9"/>
    </w:pPr>
    <w:rPr>
      <w:rFonts w:ascii="宋体" w:eastAsia="宋体"/>
    </w:rPr>
  </w:style>
  <w:style w:type="paragraph" w:customStyle="1" w:styleId="172">
    <w:name w:val="标准文件_二级无标题"/>
    <w:basedOn w:val="72"/>
    <w:qFormat/>
    <w:uiPriority w:val="0"/>
    <w:pPr>
      <w:spacing w:before="0" w:beforeLines="0" w:after="0" w:afterLines="0"/>
      <w:outlineLvl w:val="9"/>
    </w:pPr>
    <w:rPr>
      <w:rFonts w:ascii="宋体" w:eastAsia="宋体"/>
    </w:rPr>
  </w:style>
  <w:style w:type="paragraph" w:customStyle="1" w:styleId="173">
    <w:name w:val="标准_四级无标题"/>
    <w:basedOn w:val="105"/>
    <w:next w:val="63"/>
    <w:qFormat/>
    <w:uiPriority w:val="0"/>
    <w:rPr>
      <w:rFonts w:eastAsia="宋体"/>
    </w:rPr>
  </w:style>
  <w:style w:type="paragraph" w:customStyle="1" w:styleId="174">
    <w:name w:val="标准文件_四级无标题"/>
    <w:basedOn w:val="105"/>
    <w:qFormat/>
    <w:uiPriority w:val="0"/>
    <w:pPr>
      <w:spacing w:before="0" w:beforeLines="0" w:after="0" w:afterLines="0"/>
      <w:outlineLvl w:val="9"/>
    </w:pPr>
    <w:rPr>
      <w:rFonts w:ascii="宋体" w:hAnsi="黑体" w:eastAsia="宋体"/>
      <w:szCs w:val="52"/>
    </w:rPr>
  </w:style>
  <w:style w:type="paragraph" w:customStyle="1" w:styleId="175">
    <w:name w:val="标准文件_大写罗马数字编号列项"/>
    <w:basedOn w:val="63"/>
    <w:qFormat/>
    <w:uiPriority w:val="0"/>
    <w:pPr>
      <w:numPr>
        <w:ilvl w:val="0"/>
        <w:numId w:val="23"/>
      </w:numPr>
      <w:ind w:firstLine="0" w:firstLineChars="0"/>
    </w:pPr>
    <w:rPr>
      <w:rFonts w:ascii="Times New Roman" w:cs="Arial"/>
      <w:szCs w:val="28"/>
    </w:rPr>
  </w:style>
  <w:style w:type="paragraph" w:customStyle="1" w:styleId="176">
    <w:name w:val="标准文件_小写罗马数字编号列项"/>
    <w:basedOn w:val="63"/>
    <w:qFormat/>
    <w:uiPriority w:val="0"/>
    <w:pPr>
      <w:numPr>
        <w:ilvl w:val="0"/>
        <w:numId w:val="24"/>
      </w:numPr>
      <w:ind w:firstLine="0" w:firstLineChars="0"/>
    </w:pPr>
    <w:rPr>
      <w:rFonts w:cs="Arial"/>
      <w:szCs w:val="28"/>
    </w:rPr>
  </w:style>
  <w:style w:type="paragraph" w:customStyle="1" w:styleId="177">
    <w:name w:val="标准文件_附录标题"/>
    <w:basedOn w:val="83"/>
    <w:qFormat/>
    <w:uiPriority w:val="0"/>
    <w:pPr>
      <w:numPr>
        <w:numId w:val="0"/>
      </w:numPr>
      <w:outlineLvl w:val="9"/>
    </w:pPr>
  </w:style>
  <w:style w:type="paragraph" w:customStyle="1" w:styleId="178">
    <w:name w:val="标准文件_二级项"/>
    <w:qFormat/>
    <w:uiPriority w:val="0"/>
    <w:rPr>
      <w:rFonts w:ascii="宋体" w:hAnsi="Times New Roman" w:eastAsia="宋体" w:cs="Times New Roman"/>
      <w:sz w:val="21"/>
      <w:lang w:val="en-US" w:eastAsia="zh-CN" w:bidi="ar-SA"/>
    </w:rPr>
  </w:style>
  <w:style w:type="paragraph" w:customStyle="1" w:styleId="179">
    <w:name w:val="标准文件_三级项"/>
    <w:basedOn w:val="1"/>
    <w:qFormat/>
    <w:uiPriority w:val="0"/>
    <w:pPr>
      <w:numPr>
        <w:ilvl w:val="2"/>
        <w:numId w:val="21"/>
      </w:numPr>
      <w:spacing w:line="536870612" w:lineRule="auto"/>
    </w:pPr>
    <w:rPr>
      <w:rFonts w:ascii="Times New Roman" w:hAnsi="Times New Roman"/>
    </w:rPr>
  </w:style>
  <w:style w:type="paragraph" w:customStyle="1" w:styleId="180">
    <w:name w:val="图表脚注说明"/>
    <w:basedOn w:val="1"/>
    <w:next w:val="63"/>
    <w:qFormat/>
    <w:uiPriority w:val="0"/>
    <w:pPr>
      <w:numPr>
        <w:ilvl w:val="0"/>
        <w:numId w:val="25"/>
      </w:numPr>
      <w:adjustRightInd/>
      <w:spacing w:line="240" w:lineRule="auto"/>
    </w:pPr>
    <w:rPr>
      <w:rFonts w:ascii="宋体" w:hAnsi="Times New Roman"/>
      <w:sz w:val="18"/>
      <w:szCs w:val="18"/>
    </w:rPr>
  </w:style>
  <w:style w:type="paragraph" w:customStyle="1" w:styleId="181">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2">
    <w:name w:val="标准文件_索引字母"/>
    <w:next w:val="63"/>
    <w:qFormat/>
    <w:uiPriority w:val="0"/>
    <w:pPr>
      <w:jc w:val="center"/>
    </w:pPr>
    <w:rPr>
      <w:rFonts w:ascii="宋体" w:hAnsi="宋体" w:eastAsia="Times New Roman" w:cs="Times New Roman"/>
      <w:b/>
      <w:kern w:val="2"/>
      <w:sz w:val="21"/>
      <w:lang w:val="en-US" w:eastAsia="zh-CN" w:bidi="ar-SA"/>
    </w:rPr>
  </w:style>
  <w:style w:type="paragraph" w:customStyle="1" w:styleId="183">
    <w:name w:val="标准文件_附录前"/>
    <w:next w:val="63"/>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4">
    <w:name w:val="标准文件_正文标准名称"/>
    <w:qFormat/>
    <w:uiPriority w:val="0"/>
    <w:pPr>
      <w:spacing w:before="560" w:after="680"/>
      <w:jc w:val="center"/>
    </w:pPr>
    <w:rPr>
      <w:rFonts w:ascii="黑体" w:hAnsi="黑体" w:eastAsia="黑体" w:cs="Times New Roman"/>
      <w:kern w:val="2"/>
      <w:sz w:val="32"/>
      <w:szCs w:val="32"/>
      <w:lang w:val="en-US" w:eastAsia="zh-CN" w:bidi="ar-SA"/>
    </w:rPr>
  </w:style>
  <w:style w:type="paragraph" w:customStyle="1" w:styleId="185">
    <w:name w:val="标准文件_表格"/>
    <w:basedOn w:val="63"/>
    <w:qFormat/>
    <w:uiPriority w:val="0"/>
    <w:pPr>
      <w:ind w:firstLine="0" w:firstLineChars="0"/>
      <w:jc w:val="center"/>
    </w:pPr>
    <w:rPr>
      <w:sz w:val="18"/>
    </w:rPr>
  </w:style>
  <w:style w:type="paragraph" w:customStyle="1" w:styleId="186">
    <w:name w:val="标准文件_注："/>
    <w:next w:val="63"/>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7">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8">
    <w:name w:val="标准文件_示例："/>
    <w:next w:val="189"/>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9">
    <w:name w:val="标准文件_示例内容"/>
    <w:basedOn w:val="63"/>
    <w:qFormat/>
    <w:uiPriority w:val="0"/>
    <w:rPr>
      <w:sz w:val="18"/>
    </w:rPr>
  </w:style>
  <w:style w:type="paragraph" w:customStyle="1" w:styleId="190">
    <w:name w:val="标准文件_示例×："/>
    <w:basedOn w:val="1"/>
    <w:next w:val="189"/>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91">
    <w:name w:val="标准文件_段 Char"/>
    <w:link w:val="63"/>
    <w:qFormat/>
    <w:uiPriority w:val="0"/>
    <w:rPr>
      <w:rFonts w:ascii="宋体" w:hAnsi="Times New Roman" w:eastAsia="宋体" w:cs="Times New Roman"/>
      <w:sz w:val="21"/>
      <w:lang w:val="en-US" w:eastAsia="zh-CN" w:bidi="ar-SA"/>
    </w:rPr>
  </w:style>
  <w:style w:type="paragraph" w:customStyle="1" w:styleId="192">
    <w:name w:val="标准文件_表格续"/>
    <w:basedOn w:val="63"/>
    <w:next w:val="63"/>
    <w:qFormat/>
    <w:uiPriority w:val="0"/>
    <w:pPr>
      <w:jc w:val="center"/>
    </w:pPr>
    <w:rPr>
      <w:rFonts w:ascii="黑体" w:hAnsi="黑体" w:eastAsia="黑体"/>
    </w:rPr>
  </w:style>
  <w:style w:type="character" w:styleId="193">
    <w:name w:val="Placeholder Text"/>
    <w:basedOn w:val="34"/>
    <w:semiHidden/>
    <w:qFormat/>
    <w:uiPriority w:val="99"/>
    <w:rPr>
      <w:color w:val="808080"/>
    </w:rPr>
  </w:style>
  <w:style w:type="paragraph" w:customStyle="1" w:styleId="194">
    <w:name w:val="标准文件_二级项2"/>
    <w:basedOn w:val="63"/>
    <w:qFormat/>
    <w:uiPriority w:val="0"/>
    <w:pPr>
      <w:numPr>
        <w:ilvl w:val="1"/>
        <w:numId w:val="21"/>
      </w:numPr>
      <w:ind w:firstLine="0" w:firstLineChars="0"/>
    </w:pPr>
  </w:style>
  <w:style w:type="paragraph" w:customStyle="1" w:styleId="195">
    <w:name w:val="标准文件_三级项2"/>
    <w:basedOn w:val="63"/>
    <w:qFormat/>
    <w:uiPriority w:val="0"/>
    <w:pPr>
      <w:numPr>
        <w:ilvl w:val="0"/>
        <w:numId w:val="30"/>
      </w:numPr>
      <w:spacing w:line="300" w:lineRule="exact"/>
      <w:ind w:firstLineChars="0"/>
    </w:pPr>
    <w:rPr>
      <w:rFonts w:ascii="Times New Roman"/>
    </w:rPr>
  </w:style>
  <w:style w:type="paragraph" w:customStyle="1" w:styleId="196">
    <w:name w:val="标准文件_一级项2"/>
    <w:basedOn w:val="63"/>
    <w:qFormat/>
    <w:uiPriority w:val="0"/>
    <w:pPr>
      <w:numPr>
        <w:ilvl w:val="0"/>
        <w:numId w:val="31"/>
      </w:numPr>
      <w:spacing w:line="300" w:lineRule="exact"/>
      <w:ind w:firstLineChars="0"/>
    </w:pPr>
    <w:rPr>
      <w:rFonts w:ascii="Times New Roman"/>
    </w:rPr>
  </w:style>
  <w:style w:type="paragraph" w:customStyle="1" w:styleId="197">
    <w:name w:val="标准文件_提示"/>
    <w:basedOn w:val="63"/>
    <w:next w:val="63"/>
    <w:qFormat/>
    <w:uiPriority w:val="0"/>
    <w:rPr>
      <w:rFonts w:ascii="黑体" w:eastAsia="黑体"/>
    </w:rPr>
  </w:style>
  <w:style w:type="character" w:customStyle="1" w:styleId="198">
    <w:name w:val="标准文件_来源"/>
    <w:basedOn w:val="34"/>
    <w:qFormat/>
    <w:uiPriority w:val="1"/>
    <w:rPr>
      <w:rFonts w:eastAsia="宋体"/>
      <w:sz w:val="21"/>
    </w:rPr>
  </w:style>
  <w:style w:type="paragraph" w:customStyle="1" w:styleId="199">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200">
    <w:name w:val="其他发布日期"/>
    <w:basedOn w:val="127"/>
    <w:qFormat/>
    <w:uiPriority w:val="0"/>
    <w:pPr>
      <w:framePr w:w="3997" w:h="471" w:hRule="exact" w:hSpace="0" w:vSpace="181" w:wrap="around" w:vAnchor="page" w:hAnchor="page" w:x="1419" w:y="14097"/>
    </w:pPr>
  </w:style>
  <w:style w:type="paragraph" w:customStyle="1" w:styleId="201">
    <w:name w:val="其他实施日期"/>
    <w:basedOn w:val="161"/>
    <w:qFormat/>
    <w:uiPriority w:val="0"/>
    <w:pPr>
      <w:framePr w:w="3997" w:h="471" w:hRule="exact" w:vSpace="181" w:wrap="around" w:vAnchor="page" w:hAnchor="page" w:x="7089" w:y="14097"/>
    </w:pPr>
  </w:style>
  <w:style w:type="paragraph" w:customStyle="1" w:styleId="202">
    <w:name w:val="标准文件_文件编号"/>
    <w:basedOn w:val="63"/>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3">
    <w:name w:val="标准文件_替换文件编号"/>
    <w:basedOn w:val="202"/>
    <w:qFormat/>
    <w:uiPriority w:val="0"/>
    <w:pPr>
      <w:spacing w:before="57"/>
    </w:pPr>
    <w:rPr>
      <w:sz w:val="21"/>
    </w:rPr>
  </w:style>
  <w:style w:type="paragraph" w:customStyle="1" w:styleId="204">
    <w:name w:val="标准文件_文件名称"/>
    <w:basedOn w:val="63"/>
    <w:next w:val="63"/>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5">
    <w:name w:val="标准文件_附录图标号"/>
    <w:basedOn w:val="63"/>
    <w:next w:val="63"/>
    <w:qFormat/>
    <w:uiPriority w:val="0"/>
    <w:pPr>
      <w:numPr>
        <w:ilvl w:val="0"/>
        <w:numId w:val="6"/>
      </w:numPr>
      <w:spacing w:line="14" w:lineRule="exact"/>
      <w:ind w:firstLineChars="0"/>
      <w:jc w:val="center"/>
    </w:pPr>
    <w:rPr>
      <w:rFonts w:ascii="黑体" w:hAnsi="黑体" w:eastAsia="黑体"/>
      <w:vanish/>
      <w:sz w:val="2"/>
      <w:szCs w:val="21"/>
    </w:rPr>
  </w:style>
  <w:style w:type="paragraph" w:customStyle="1" w:styleId="206">
    <w:name w:val="标准文件_附录表标号"/>
    <w:basedOn w:val="63"/>
    <w:next w:val="63"/>
    <w:qFormat/>
    <w:uiPriority w:val="0"/>
    <w:pPr>
      <w:numPr>
        <w:ilvl w:val="0"/>
        <w:numId w:val="5"/>
      </w:numPr>
      <w:spacing w:line="14" w:lineRule="exact"/>
      <w:ind w:firstLineChars="0"/>
      <w:jc w:val="center"/>
    </w:pPr>
    <w:rPr>
      <w:rFonts w:eastAsia="黑体"/>
      <w:vanish/>
      <w:sz w:val="2"/>
    </w:rPr>
  </w:style>
  <w:style w:type="paragraph" w:customStyle="1" w:styleId="207">
    <w:name w:val="标准文件_引言一级条标题"/>
    <w:basedOn w:val="63"/>
    <w:next w:val="63"/>
    <w:qFormat/>
    <w:uiPriority w:val="0"/>
    <w:pPr>
      <w:numPr>
        <w:ilvl w:val="1"/>
        <w:numId w:val="8"/>
      </w:numPr>
      <w:spacing w:before="50" w:beforeLines="50" w:after="50" w:afterLines="50"/>
      <w:ind w:firstLineChars="0"/>
    </w:pPr>
    <w:rPr>
      <w:rFonts w:ascii="黑体" w:eastAsia="黑体"/>
    </w:rPr>
  </w:style>
  <w:style w:type="paragraph" w:customStyle="1" w:styleId="208">
    <w:name w:val="标准文件_引言二级条标题"/>
    <w:basedOn w:val="63"/>
    <w:next w:val="63"/>
    <w:qFormat/>
    <w:uiPriority w:val="0"/>
    <w:pPr>
      <w:numPr>
        <w:ilvl w:val="2"/>
        <w:numId w:val="8"/>
      </w:numPr>
      <w:spacing w:before="50" w:beforeLines="50" w:after="50" w:afterLines="50"/>
      <w:ind w:firstLineChars="0"/>
    </w:pPr>
    <w:rPr>
      <w:rFonts w:ascii="黑体" w:eastAsia="黑体"/>
    </w:rPr>
  </w:style>
  <w:style w:type="paragraph" w:customStyle="1" w:styleId="209">
    <w:name w:val="标准文件_引言三级条标题"/>
    <w:basedOn w:val="63"/>
    <w:next w:val="63"/>
    <w:qFormat/>
    <w:uiPriority w:val="0"/>
    <w:pPr>
      <w:numPr>
        <w:ilvl w:val="3"/>
        <w:numId w:val="8"/>
      </w:numPr>
      <w:spacing w:before="50" w:beforeLines="50" w:after="50" w:afterLines="50"/>
      <w:ind w:firstLineChars="0"/>
    </w:pPr>
    <w:rPr>
      <w:rFonts w:ascii="黑体" w:eastAsia="黑体"/>
    </w:rPr>
  </w:style>
  <w:style w:type="paragraph" w:customStyle="1" w:styleId="210">
    <w:name w:val="标准文件_引言四级条标题"/>
    <w:basedOn w:val="63"/>
    <w:next w:val="63"/>
    <w:qFormat/>
    <w:uiPriority w:val="0"/>
    <w:pPr>
      <w:numPr>
        <w:ilvl w:val="4"/>
        <w:numId w:val="8"/>
      </w:numPr>
      <w:spacing w:before="50" w:beforeLines="50" w:after="50" w:afterLines="50"/>
      <w:ind w:firstLineChars="0"/>
    </w:pPr>
    <w:rPr>
      <w:rFonts w:ascii="黑体" w:eastAsia="黑体"/>
    </w:rPr>
  </w:style>
  <w:style w:type="paragraph" w:customStyle="1" w:styleId="211">
    <w:name w:val="标准文件_引言五级条标题"/>
    <w:basedOn w:val="63"/>
    <w:next w:val="63"/>
    <w:qFormat/>
    <w:uiPriority w:val="0"/>
    <w:pPr>
      <w:numPr>
        <w:ilvl w:val="5"/>
        <w:numId w:val="8"/>
      </w:numPr>
      <w:spacing w:before="50" w:beforeLines="50" w:after="50" w:afterLines="50"/>
      <w:ind w:firstLineChars="0"/>
    </w:pPr>
    <w:rPr>
      <w:rFonts w:ascii="黑体" w:eastAsia="黑体"/>
    </w:rPr>
  </w:style>
  <w:style w:type="paragraph" w:customStyle="1" w:styleId="212">
    <w:name w:val="标准文件_注后"/>
    <w:basedOn w:val="63"/>
    <w:qFormat/>
    <w:uiPriority w:val="0"/>
    <w:pPr>
      <w:ind w:left="811" w:firstLine="0" w:firstLineChars="0"/>
    </w:pPr>
    <w:rPr>
      <w:sz w:val="18"/>
    </w:rPr>
  </w:style>
  <w:style w:type="paragraph" w:customStyle="1" w:styleId="213">
    <w:name w:val="标准文件_注X后"/>
    <w:basedOn w:val="63"/>
    <w:qFormat/>
    <w:uiPriority w:val="0"/>
    <w:pPr>
      <w:ind w:left="811" w:firstLine="0" w:firstLineChars="0"/>
    </w:pPr>
    <w:rPr>
      <w:sz w:val="18"/>
    </w:rPr>
  </w:style>
  <w:style w:type="paragraph" w:customStyle="1" w:styleId="214">
    <w:name w:val="标准文件_示例后"/>
    <w:basedOn w:val="63"/>
    <w:qFormat/>
    <w:uiPriority w:val="0"/>
    <w:pPr>
      <w:ind w:left="964" w:firstLine="0" w:firstLineChars="0"/>
    </w:pPr>
    <w:rPr>
      <w:sz w:val="18"/>
    </w:rPr>
  </w:style>
  <w:style w:type="paragraph" w:customStyle="1" w:styleId="215">
    <w:name w:val="标准文件_示例X后"/>
    <w:basedOn w:val="63"/>
    <w:link w:val="216"/>
    <w:qFormat/>
    <w:uiPriority w:val="0"/>
    <w:pPr>
      <w:ind w:left="1049" w:firstLine="0" w:firstLineChars="0"/>
    </w:pPr>
    <w:rPr>
      <w:sz w:val="18"/>
    </w:rPr>
  </w:style>
  <w:style w:type="character" w:customStyle="1" w:styleId="216">
    <w:name w:val="标准文件_示例X后 字符"/>
    <w:basedOn w:val="191"/>
    <w:link w:val="215"/>
    <w:qFormat/>
    <w:uiPriority w:val="0"/>
    <w:rPr>
      <w:rFonts w:ascii="宋体" w:hAnsi="Times New Roman" w:eastAsia="宋体" w:cs="Times New Roman"/>
      <w:sz w:val="18"/>
      <w:lang w:val="en-US" w:eastAsia="zh-CN" w:bidi="ar-SA"/>
    </w:rPr>
  </w:style>
  <w:style w:type="paragraph" w:customStyle="1" w:styleId="217">
    <w:name w:val="标准文件_索引项"/>
    <w:basedOn w:val="63"/>
    <w:next w:val="63"/>
    <w:qFormat/>
    <w:uiPriority w:val="0"/>
    <w:pPr>
      <w:tabs>
        <w:tab w:val="right" w:leader="dot" w:pos="9356"/>
      </w:tabs>
      <w:ind w:left="210" w:hanging="210" w:firstLineChars="0"/>
      <w:jc w:val="left"/>
    </w:pPr>
  </w:style>
  <w:style w:type="paragraph" w:customStyle="1" w:styleId="218">
    <w:name w:val="标准文件_附录一级无标题"/>
    <w:basedOn w:val="85"/>
    <w:qFormat/>
    <w:uiPriority w:val="0"/>
    <w:pPr>
      <w:spacing w:before="0" w:beforeLines="0" w:after="0" w:afterLines="0" w:line="276" w:lineRule="auto"/>
      <w:outlineLvl w:val="9"/>
    </w:pPr>
    <w:rPr>
      <w:rFonts w:ascii="宋体" w:eastAsia="宋体"/>
    </w:rPr>
  </w:style>
  <w:style w:type="paragraph" w:customStyle="1" w:styleId="219">
    <w:name w:val="标准文件_附录二级无标题"/>
    <w:basedOn w:val="86"/>
    <w:qFormat/>
    <w:uiPriority w:val="0"/>
    <w:pPr>
      <w:spacing w:before="0" w:beforeLines="0" w:after="0" w:afterLines="0" w:line="276" w:lineRule="auto"/>
      <w:outlineLvl w:val="9"/>
    </w:pPr>
    <w:rPr>
      <w:rFonts w:ascii="宋体" w:eastAsia="宋体"/>
    </w:rPr>
  </w:style>
  <w:style w:type="paragraph" w:customStyle="1" w:styleId="220">
    <w:name w:val="标准文件_附录三级无标题"/>
    <w:basedOn w:val="88"/>
    <w:qFormat/>
    <w:uiPriority w:val="0"/>
    <w:pPr>
      <w:spacing w:before="0" w:beforeLines="0" w:after="0" w:afterLines="0" w:line="276" w:lineRule="auto"/>
      <w:outlineLvl w:val="9"/>
    </w:pPr>
    <w:rPr>
      <w:rFonts w:ascii="宋体" w:eastAsia="宋体"/>
    </w:rPr>
  </w:style>
  <w:style w:type="paragraph" w:customStyle="1" w:styleId="221">
    <w:name w:val="标准文件_附录四级无标题"/>
    <w:basedOn w:val="89"/>
    <w:qFormat/>
    <w:uiPriority w:val="0"/>
    <w:pPr>
      <w:spacing w:before="0" w:beforeLines="0" w:after="0" w:afterLines="0" w:line="276" w:lineRule="auto"/>
      <w:outlineLvl w:val="9"/>
    </w:pPr>
    <w:rPr>
      <w:rFonts w:ascii="宋体" w:eastAsia="宋体"/>
    </w:rPr>
  </w:style>
  <w:style w:type="paragraph" w:customStyle="1" w:styleId="222">
    <w:name w:val="标准文件_附录五级无标题"/>
    <w:basedOn w:val="91"/>
    <w:qFormat/>
    <w:uiPriority w:val="0"/>
    <w:pPr>
      <w:spacing w:before="0" w:beforeLines="0" w:after="0" w:afterLines="0" w:line="276" w:lineRule="auto"/>
      <w:outlineLvl w:val="9"/>
    </w:pPr>
    <w:rPr>
      <w:rFonts w:ascii="宋体" w:eastAsia="宋体"/>
    </w:rPr>
  </w:style>
  <w:style w:type="paragraph" w:customStyle="1" w:styleId="223">
    <w:name w:val="标准文件_引言一级无标题"/>
    <w:basedOn w:val="207"/>
    <w:next w:val="63"/>
    <w:qFormat/>
    <w:uiPriority w:val="0"/>
    <w:pPr>
      <w:spacing w:before="0" w:beforeLines="0" w:after="0" w:afterLines="0" w:line="276" w:lineRule="auto"/>
    </w:pPr>
    <w:rPr>
      <w:rFonts w:ascii="宋体" w:eastAsia="宋体"/>
    </w:rPr>
  </w:style>
  <w:style w:type="paragraph" w:customStyle="1" w:styleId="224">
    <w:name w:val="标准文件_引言二级无标题"/>
    <w:basedOn w:val="208"/>
    <w:next w:val="63"/>
    <w:qFormat/>
    <w:uiPriority w:val="0"/>
    <w:pPr>
      <w:spacing w:before="0" w:beforeLines="0" w:after="0" w:afterLines="0" w:line="276" w:lineRule="auto"/>
    </w:pPr>
    <w:rPr>
      <w:rFonts w:ascii="宋体" w:eastAsia="宋体"/>
    </w:rPr>
  </w:style>
  <w:style w:type="paragraph" w:customStyle="1" w:styleId="225">
    <w:name w:val="标准文件_引言三级无标题"/>
    <w:basedOn w:val="209"/>
    <w:qFormat/>
    <w:uiPriority w:val="0"/>
    <w:pPr>
      <w:spacing w:before="0" w:beforeLines="0" w:after="0" w:afterLines="0" w:line="276" w:lineRule="auto"/>
    </w:pPr>
    <w:rPr>
      <w:rFonts w:ascii="宋体" w:eastAsia="宋体"/>
    </w:rPr>
  </w:style>
  <w:style w:type="paragraph" w:customStyle="1" w:styleId="226">
    <w:name w:val="标准文件_引言四级无标题"/>
    <w:basedOn w:val="210"/>
    <w:next w:val="63"/>
    <w:qFormat/>
    <w:uiPriority w:val="0"/>
    <w:pPr>
      <w:spacing w:before="0" w:beforeLines="0" w:after="0" w:afterLines="0" w:line="276" w:lineRule="auto"/>
    </w:pPr>
    <w:rPr>
      <w:rFonts w:ascii="宋体" w:eastAsia="宋体"/>
    </w:rPr>
  </w:style>
  <w:style w:type="paragraph" w:customStyle="1" w:styleId="227">
    <w:name w:val="标准文件_引言五级无标题"/>
    <w:basedOn w:val="211"/>
    <w:next w:val="63"/>
    <w:qFormat/>
    <w:uiPriority w:val="0"/>
    <w:pPr>
      <w:spacing w:before="0" w:beforeLines="0" w:after="0" w:afterLines="0" w:line="276" w:lineRule="auto"/>
    </w:pPr>
    <w:rPr>
      <w:rFonts w:ascii="宋体" w:eastAsia="宋体"/>
    </w:rPr>
  </w:style>
  <w:style w:type="paragraph" w:customStyle="1" w:styleId="228">
    <w:name w:val="标准文件_索引标题"/>
    <w:basedOn w:val="70"/>
    <w:next w:val="63"/>
    <w:qFormat/>
    <w:uiPriority w:val="0"/>
  </w:style>
  <w:style w:type="paragraph" w:customStyle="1" w:styleId="229">
    <w:name w:val="标准文件_脚注内容"/>
    <w:basedOn w:val="63"/>
    <w:qFormat/>
    <w:uiPriority w:val="0"/>
    <w:pPr>
      <w:ind w:left="400" w:leftChars="200" w:hanging="200" w:hangingChars="200"/>
    </w:pPr>
    <w:rPr>
      <w:sz w:val="15"/>
    </w:rPr>
  </w:style>
  <w:style w:type="paragraph" w:customStyle="1" w:styleId="230">
    <w:name w:val="标准文件_术语条一"/>
    <w:basedOn w:val="169"/>
    <w:next w:val="63"/>
    <w:qFormat/>
    <w:uiPriority w:val="0"/>
    <w:rPr>
      <w:rFonts w:ascii="黑体" w:hAnsi="黑体" w:eastAsia="黑体"/>
    </w:rPr>
  </w:style>
  <w:style w:type="paragraph" w:customStyle="1" w:styleId="231">
    <w:name w:val="标准文件_术语条二"/>
    <w:basedOn w:val="172"/>
    <w:next w:val="63"/>
    <w:qFormat/>
    <w:uiPriority w:val="0"/>
    <w:rPr>
      <w:rFonts w:ascii="黑体" w:hAnsi="黑体" w:eastAsia="黑体"/>
    </w:rPr>
  </w:style>
  <w:style w:type="paragraph" w:customStyle="1" w:styleId="232">
    <w:name w:val="标准文件_术语条三"/>
    <w:basedOn w:val="171"/>
    <w:next w:val="63"/>
    <w:qFormat/>
    <w:uiPriority w:val="0"/>
    <w:rPr>
      <w:rFonts w:ascii="黑体" w:hAnsi="黑体" w:eastAsia="黑体"/>
    </w:rPr>
  </w:style>
  <w:style w:type="paragraph" w:customStyle="1" w:styleId="233">
    <w:name w:val="标准文件_术语条四"/>
    <w:basedOn w:val="174"/>
    <w:next w:val="63"/>
    <w:qFormat/>
    <w:uiPriority w:val="0"/>
    <w:rPr>
      <w:rFonts w:ascii="黑体" w:eastAsia="黑体"/>
    </w:rPr>
  </w:style>
  <w:style w:type="paragraph" w:customStyle="1" w:styleId="234">
    <w:name w:val="标准文件_术语条五"/>
    <w:basedOn w:val="170"/>
    <w:next w:val="63"/>
    <w:qFormat/>
    <w:uiPriority w:val="0"/>
    <w:rPr>
      <w:rFonts w:ascii="黑体" w:hAnsi="黑体" w:eastAsia="黑体"/>
    </w:rPr>
  </w:style>
  <w:style w:type="paragraph" w:customStyle="1" w:styleId="23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6">
    <w:name w:val="发布"/>
    <w:basedOn w:val="34"/>
    <w:qFormat/>
    <w:uiPriority w:val="0"/>
    <w:rPr>
      <w:rFonts w:ascii="黑体" w:eastAsia="黑体"/>
      <w:spacing w:val="85"/>
      <w:w w:val="100"/>
      <w:position w:val="3"/>
      <w:sz w:val="28"/>
      <w:szCs w:val="28"/>
    </w:rPr>
  </w:style>
  <w:style w:type="character" w:customStyle="1" w:styleId="237">
    <w:name w:val="标准称谓 Char"/>
    <w:link w:val="57"/>
    <w:qFormat/>
    <w:uiPriority w:val="0"/>
    <w:rPr>
      <w:rFonts w:ascii="宋体" w:hAnsi="Times New Roman" w:eastAsia="宋体" w:cs="Times New Roman"/>
      <w:b/>
      <w:bCs/>
      <w:w w:val="148"/>
      <w:sz w:val="52"/>
      <w:lang w:val="en-US" w:eastAsia="zh-CN" w:bidi="ar-SA"/>
    </w:rPr>
  </w:style>
  <w:style w:type="character" w:customStyle="1" w:styleId="238">
    <w:name w:val="标准标志 Char"/>
    <w:link w:val="56"/>
    <w:qFormat/>
    <w:uiPriority w:val="0"/>
    <w:rPr>
      <w:rFonts w:ascii="Times New Roman" w:hAnsi="Times New Roman" w:eastAsia="宋体" w:cs="Times New Roman"/>
      <w:b/>
      <w:w w:val="130"/>
      <w:sz w:val="96"/>
      <w:lang w:val="en-US" w:eastAsia="zh-CN" w:bidi="ar-SA"/>
    </w:rPr>
  </w:style>
  <w:style w:type="character" w:customStyle="1" w:styleId="239">
    <w:name w:val="封面一致性程度标识 Char"/>
    <w:link w:val="133"/>
    <w:qFormat/>
    <w:uiPriority w:val="0"/>
    <w:rPr>
      <w:rFonts w:ascii="黑体" w:hAnsi="黑体" w:eastAsia="黑体" w:cs="黑体"/>
      <w:sz w:val="28"/>
      <w:lang w:val="en-US" w:eastAsia="zh-CN" w:bidi="ar-SA"/>
    </w:rPr>
  </w:style>
  <w:style w:type="paragraph" w:customStyle="1" w:styleId="240">
    <w:name w:val="参考文献、索引标题"/>
    <w:basedOn w:val="1"/>
    <w:next w:val="3"/>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41">
    <w:name w:val="Revision"/>
    <w:hidden/>
    <w:unhideWhenUsed/>
    <w:qFormat/>
    <w:uiPriority w:val="99"/>
    <w:rPr>
      <w:rFonts w:ascii="Calibri" w:hAnsi="Calibri" w:eastAsia="宋体" w:cs="Times New Roman"/>
      <w:kern w:val="2"/>
      <w:sz w:val="21"/>
      <w:szCs w:val="21"/>
      <w:lang w:val="en-US" w:eastAsia="zh-CN" w:bidi="ar-SA"/>
    </w:rPr>
  </w:style>
  <w:style w:type="character" w:customStyle="1" w:styleId="242">
    <w:name w:val="批注文字 字符"/>
    <w:basedOn w:val="34"/>
    <w:link w:val="15"/>
    <w:semiHidden/>
    <w:qFormat/>
    <w:uiPriority w:val="99"/>
    <w:rPr>
      <w:rFonts w:ascii="Calibri" w:hAnsi="Calibri"/>
      <w:kern w:val="2"/>
      <w:sz w:val="21"/>
      <w:szCs w:val="21"/>
    </w:rPr>
  </w:style>
  <w:style w:type="character" w:customStyle="1" w:styleId="243">
    <w:name w:val="批注主题 字符"/>
    <w:basedOn w:val="242"/>
    <w:link w:val="31"/>
    <w:semiHidden/>
    <w:qFormat/>
    <w:uiPriority w:val="99"/>
    <w:rPr>
      <w:rFonts w:ascii="Calibri" w:hAnsi="Calibri"/>
      <w:b/>
      <w:bCs/>
      <w:kern w:val="2"/>
      <w:sz w:val="21"/>
      <w:szCs w:val="21"/>
    </w:rPr>
  </w:style>
  <w:style w:type="character" w:customStyle="1" w:styleId="244">
    <w:name w:val="Unresolved Mention"/>
    <w:basedOn w:val="34"/>
    <w:semiHidden/>
    <w:unhideWhenUsed/>
    <w:qFormat/>
    <w:uiPriority w:val="99"/>
    <w:rPr>
      <w:color w:val="605E5C"/>
      <w:shd w:val="clear" w:color="auto" w:fill="E1DFDD"/>
    </w:rPr>
  </w:style>
  <w:style w:type="paragraph" w:customStyle="1" w:styleId="245">
    <w:name w:val="WPSOffice手动目录 1"/>
    <w:qFormat/>
    <w:uiPriority w:val="0"/>
    <w:pPr>
      <w:ind w:leftChars="0"/>
    </w:pPr>
    <w:rPr>
      <w:rFonts w:ascii="Times New Roman" w:hAnsi="Times New Roman" w:eastAsia="宋体" w:cs="Times New Roman"/>
      <w:sz w:val="20"/>
      <w:szCs w:val="20"/>
    </w:rPr>
  </w:style>
  <w:style w:type="paragraph" w:customStyle="1" w:styleId="24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8623DBB2C24B3899CB0B000E5C5DBB"/>
        <w:style w:val=""/>
        <w:category>
          <w:name w:val="常规"/>
          <w:gallery w:val="placeholder"/>
        </w:category>
        <w:types>
          <w:type w:val="bbPlcHdr"/>
        </w:types>
        <w:behaviors>
          <w:behavior w:val="content"/>
        </w:behaviors>
        <w:description w:val=""/>
        <w:guid w:val="{82DA0A6E-57A9-4F44-8F0C-2065C91B6EC0}"/>
      </w:docPartPr>
      <w:docPartBody>
        <w:p w14:paraId="7AD9FCD5">
          <w:pPr>
            <w:pStyle w:val="5"/>
          </w:pPr>
          <w:r>
            <w:rPr>
              <w:rStyle w:val="4"/>
              <w:rFonts w:hint="eastAsia"/>
            </w:rPr>
            <w:t>选择一项。</w:t>
          </w:r>
        </w:p>
      </w:docPartBody>
    </w:docPart>
    <w:docPart>
      <w:docPartPr>
        <w:name w:val="{ee073880-b451-4ff0-9253-5135824a1eff}"/>
        <w:style w:val=""/>
        <w:category>
          <w:name w:val="常规"/>
          <w:gallery w:val="placeholder"/>
        </w:category>
        <w:types>
          <w:type w:val="bbPlcHdr"/>
        </w:types>
        <w:behaviors>
          <w:behavior w:val="content"/>
        </w:behaviors>
        <w:description w:val=""/>
        <w:guid w:val="{EE073880-B451-4FF0-9253-5135824A1EFF}"/>
      </w:docPartPr>
      <w:docPartBody>
        <w:p w14:paraId="662B8DA0">
          <w:r>
            <w:rPr>
              <w:color w:val="808080"/>
            </w:rPr>
            <w:t>点击此处添加标准名称</w:t>
          </w:r>
        </w:p>
      </w:docPartBody>
    </w:docPart>
    <w:docPart>
      <w:docPartPr>
        <w:name w:val="{7be65522-be42-417e-a61a-794d4bc9e243}"/>
        <w:style w:val=""/>
        <w:category>
          <w:name w:val="常规"/>
          <w:gallery w:val="placeholder"/>
        </w:category>
        <w:types>
          <w:type w:val="bbPlcHdr"/>
        </w:types>
        <w:behaviors>
          <w:behavior w:val="content"/>
        </w:behaviors>
        <w:description w:val=""/>
        <w:guid w:val="{7BE65522-BE42-417E-A61A-794D4BC9E243}"/>
      </w:docPartPr>
      <w:docPartBody>
        <w:p w14:paraId="7762D2AA">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23E"/>
    <w:rsid w:val="0032375B"/>
    <w:rsid w:val="003C3104"/>
    <w:rsid w:val="00C722F1"/>
    <w:rsid w:val="00EB2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B8623DBB2C24B3899CB0B000E5C5DBB"/>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8FE12C-16EA-4F8F-A8A1-ED38DA65EEBC}">
  <ds:schemaRefs/>
</ds:datastoreItem>
</file>

<file path=docProps/app.xml><?xml version="1.0" encoding="utf-8"?>
<Properties xmlns="http://schemas.openxmlformats.org/officeDocument/2006/extended-properties" xmlns:vt="http://schemas.openxmlformats.org/officeDocument/2006/docPropsVTypes">
  <Template>C:\Program Files (x86)\StandardEditor\template\行业标准.dotx</Template>
  <Company>PCMI</Company>
  <Pages>10</Pages>
  <Words>5128</Words>
  <Characters>5794</Characters>
  <Lines>70</Lines>
  <Paragraphs>19</Paragraphs>
  <TotalTime>29</TotalTime>
  <ScaleCrop>false</ScaleCrop>
  <LinksUpToDate>false</LinksUpToDate>
  <CharactersWithSpaces>6116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2023-06-15T08:31:00Z</dcterms:created>
  <dc:creator>ekk12</dc:creator>
  <dc:description>&lt;config cover="true" show_menu="true" version="1.0.0" doctype="SDKXY"&gt;_x000d_
&lt;/config&gt;</dc:description>
  <cp:lastModifiedBy>工作组</cp:lastModifiedBy>
  <cp:lastPrinted>2021-02-02T08:18:00Z</cp:lastPrinted>
  <dcterms:modified xsi:type="dcterms:W3CDTF">2026-06-30T06:01:05Z</dcterms:modified>
  <dc:title>行业标准</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2052-12.1.0.26895</vt:lpwstr>
  </property>
  <property fmtid="{D5CDD505-2E9C-101B-9397-08002B2CF9AE}" pid="15" name="ICV">
    <vt:lpwstr>5676C73D937F403DAD0B7E77B83A1377_13</vt:lpwstr>
  </property>
  <property fmtid="{D5CDD505-2E9C-101B-9397-08002B2CF9AE}" pid="16" name="KSOTemplateDocerSaveRecord">
    <vt:lpwstr>eyJoZGlkIjoiZjg4ZGUzMmU5ZDk0M2FjMzAzOTBhZmQxMjNkNTk0NTYiLCJ1c2VySWQiOiI0MDgwOTI1NzcifQ==</vt:lpwstr>
  </property>
</Properties>
</file>