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1AA38">
      <w:pPr>
        <w:spacing w:before="156" w:beforeLines="50" w:after="156" w:afterLines="50" w:line="240" w:lineRule="auto"/>
        <w:jc w:val="center"/>
        <w:rPr>
          <w:rFonts w:hint="eastAsia" w:ascii="宋体" w:hAnsi="宋体" w:cs="宋体"/>
          <w:sz w:val="44"/>
          <w:szCs w:val="44"/>
        </w:rPr>
      </w:pPr>
      <w:r>
        <w:rPr>
          <w:rFonts w:hint="eastAsia" w:ascii="宋体" w:hAnsi="宋体" w:cs="宋体"/>
          <w:sz w:val="44"/>
          <w:szCs w:val="44"/>
        </w:rPr>
        <w:t>《化学分析用标准品管理与应用规范》</w:t>
      </w:r>
    </w:p>
    <w:p w14:paraId="28BBEC41">
      <w:pPr>
        <w:spacing w:before="156" w:beforeLines="50" w:after="156" w:afterLines="50" w:line="240" w:lineRule="auto"/>
        <w:jc w:val="center"/>
        <w:rPr>
          <w:rFonts w:ascii="Times New Roman" w:hAnsi="Times New Roman" w:eastAsia="黑体"/>
          <w:sz w:val="32"/>
          <w:szCs w:val="32"/>
        </w:rPr>
      </w:pPr>
      <w:r>
        <w:rPr>
          <w:rFonts w:hint="eastAsia" w:ascii="Times New Roman" w:hAnsi="Times New Roman" w:eastAsia="黑体"/>
          <w:sz w:val="32"/>
          <w:szCs w:val="32"/>
        </w:rPr>
        <w:t>编制说明</w:t>
      </w:r>
    </w:p>
    <w:p w14:paraId="4C633F25">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167A5DDD">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6F6F9E94">
      <w:pPr>
        <w:pStyle w:val="7"/>
        <w:widowControl/>
        <w:spacing w:beforeAutospacing="0" w:afterAutospacing="0" w:line="520" w:lineRule="exact"/>
        <w:ind w:firstLine="480" w:firstLineChars="200"/>
        <w:jc w:val="both"/>
        <w:rPr>
          <w:rFonts w:hint="eastAsia" w:ascii="宋体" w:hAnsi="宋体" w:cs="宋体"/>
        </w:rPr>
      </w:pPr>
      <w:r>
        <w:rPr>
          <w:rFonts w:hint="eastAsia" w:ascii="宋体" w:hAnsi="宋体" w:cs="宋体"/>
        </w:rPr>
        <w:t>本项目根据中国西部开发促进会2026年团体标准制定计划，项目名称为《化学分析用标准品管理与应用规范》的任务而进行制订。</w:t>
      </w:r>
    </w:p>
    <w:p w14:paraId="282395EB">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783B1F7A">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本文件起草单位：南京市计量监督检测院、江苏实朴检测服务有限公司、南京汉广检测技术有限公司、河北实朴检测技术服务有限公司、迪天环境技术南京股份有限公司</w:t>
      </w:r>
      <w:r>
        <w:rPr>
          <w:rFonts w:hint="eastAsia" w:ascii="Times New Roman" w:hAnsi="Times New Roman" w:cs="Times New Roman"/>
          <w:b w:val="0"/>
          <w:bCs w:val="0"/>
          <w:color w:val="auto"/>
          <w:sz w:val="24"/>
          <w:szCs w:val="24"/>
          <w:lang w:eastAsia="zh-CN"/>
        </w:rPr>
        <w:t>等</w:t>
      </w:r>
      <w:r>
        <w:rPr>
          <w:rFonts w:hint="eastAsia" w:ascii="Times New Roman" w:hAnsi="Times New Roman" w:cs="Times New Roman"/>
          <w:b w:val="0"/>
          <w:bCs w:val="0"/>
          <w:color w:val="auto"/>
          <w:sz w:val="24"/>
          <w:szCs w:val="24"/>
        </w:rPr>
        <w:t>。</w:t>
      </w:r>
    </w:p>
    <w:p w14:paraId="0F3373A0">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本文件主要起草人：顾卫东、高敏、石成桥、张晓力、王辉</w:t>
      </w:r>
      <w:r>
        <w:rPr>
          <w:rFonts w:hint="eastAsia" w:ascii="Times New Roman" w:hAnsi="Times New Roman" w:cs="Times New Roman"/>
          <w:b w:val="0"/>
          <w:bCs w:val="0"/>
          <w:color w:val="auto"/>
          <w:sz w:val="24"/>
          <w:szCs w:val="24"/>
          <w:lang w:eastAsia="zh-CN"/>
        </w:rPr>
        <w:t>等</w:t>
      </w:r>
      <w:r>
        <w:rPr>
          <w:rFonts w:hint="eastAsia" w:ascii="Times New Roman" w:hAnsi="Times New Roman" w:cs="Times New Roman"/>
          <w:b w:val="0"/>
          <w:bCs w:val="0"/>
          <w:color w:val="auto"/>
          <w:sz w:val="24"/>
          <w:szCs w:val="24"/>
        </w:rPr>
        <w:t>。</w:t>
      </w:r>
    </w:p>
    <w:p w14:paraId="43E76E9B">
      <w:pPr>
        <w:pStyle w:val="4"/>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（三）标准制定目的和意义</w:t>
      </w:r>
    </w:p>
    <w:p w14:paraId="208B13F7">
      <w:pPr>
        <w:ind w:firstLine="480" w:firstLineChars="200"/>
        <w:rPr>
          <w:sz w:val="24"/>
          <w:szCs w:val="24"/>
        </w:rPr>
      </w:pPr>
      <w:r>
        <w:rPr>
          <w:rFonts w:hint="eastAsia"/>
          <w:sz w:val="24"/>
          <w:szCs w:val="24"/>
        </w:rPr>
        <w:t>从产业角度分析，制定《化学分析用标准品管理与应用规范》团体标准的目的和意义主要体现在以下几个方面：</w:t>
      </w:r>
    </w:p>
    <w:p w14:paraId="3649FE55">
      <w:pPr>
        <w:ind w:firstLine="480" w:firstLineChars="200"/>
        <w:rPr>
          <w:rFonts w:hint="eastAsia"/>
          <w:sz w:val="24"/>
          <w:szCs w:val="24"/>
        </w:rPr>
      </w:pPr>
      <w:r>
        <w:rPr>
          <w:rFonts w:hint="eastAsia"/>
          <w:sz w:val="24"/>
          <w:szCs w:val="24"/>
        </w:rPr>
        <w:t>在化学分析领域，标准品作为量值传递的载体和测量结果的“定盘星”，其管理与应用水平直接决定了检测数据的准确性、可靠性与合规性。然而，当前部分实验室在标准品管理方面仍存在诸多隐患：一方面，管理体系尚不健全，对标准品的分类、标识、储存环境等缺乏精细化管控，导致吸潮、氧化、交叉污染等问题频发；另一方面，操作层面存在认知误区，如忽视纯度与水分校正、反复冻融导致降解、基质不匹配引发回收率偏差等，这些不规范行为严重削弱了检测结果的溯源性。此外，监管执法与技术支撑能力的不足，也使得部分环节处于失控边缘，难以满足日益严格的行业合规要求。</w:t>
      </w:r>
    </w:p>
    <w:p w14:paraId="447BF6FB">
      <w:pPr>
        <w:ind w:firstLine="480" w:firstLineChars="200"/>
        <w:rPr>
          <w:rFonts w:hint="eastAsia"/>
          <w:sz w:val="24"/>
          <w:szCs w:val="24"/>
        </w:rPr>
      </w:pPr>
      <w:r>
        <w:rPr>
          <w:rFonts w:hint="eastAsia"/>
          <w:sz w:val="24"/>
          <w:szCs w:val="24"/>
        </w:rPr>
        <w:t>制定并实施化学分析用标准品管理与应用规范，对于提升实验室整体技术水平与风险防控能力具有深远意义。这不仅有助于填补管理空白，通过建立从采购验收、期间核查到废弃处置的全生命周期闭环管理，有效规避因标准品失效导致的假阳性或数据漂移风险；更能推动化学分析向标准化、绿色化、国际化方向发展，增强我国在化学品管理领域的国际话语权。最终，规范的落地将为产品质量控制、环境监测及公共安全提供坚实的数据支撑，切实保障人民生命财产安全与经济社会的可持续发展。</w:t>
      </w:r>
    </w:p>
    <w:p w14:paraId="6E3128E7">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6EFB170F">
      <w:pPr>
        <w:pStyle w:val="7"/>
        <w:widowControl/>
        <w:spacing w:beforeAutospacing="0" w:afterAutospacing="0" w:line="520" w:lineRule="exact"/>
        <w:ind w:firstLine="480" w:firstLineChars="20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1.前期准备工作</w:t>
      </w:r>
    </w:p>
    <w:p w14:paraId="31B07F14">
      <w:pPr>
        <w:pStyle w:val="7"/>
        <w:widowControl/>
        <w:spacing w:beforeAutospacing="0" w:afterAutospacing="0" w:line="520" w:lineRule="exact"/>
        <w:ind w:firstLine="480" w:firstLineChars="20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项目立项前，标准编制小组查阅、研读相关国内外文献，广泛搜集相关的材料。同时，标准编制小组安排相关人员，多次与相关行业人员进行调研、交流，广泛征求标准制定方面的意见和建议。</w:t>
      </w:r>
    </w:p>
    <w:p w14:paraId="5B07FA01">
      <w:pPr>
        <w:pStyle w:val="7"/>
        <w:widowControl/>
        <w:spacing w:beforeAutospacing="0" w:afterAutospacing="0" w:line="520" w:lineRule="exact"/>
        <w:ind w:firstLine="480" w:firstLineChars="20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2026年</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14:textFill>
            <w14:solidFill>
              <w14:schemeClr w14:val="tx1"/>
            </w14:solidFill>
          </w14:textFill>
        </w:rPr>
        <w:t>月本团体标准由中国西部开发促进会正式立项，立项名称为：</w:t>
      </w:r>
      <w:r>
        <w:rPr>
          <w:rFonts w:hint="eastAsia" w:ascii="宋体" w:hAnsi="宋体" w:cs="宋体"/>
        </w:rPr>
        <w:t>《化学分析用标准品管理与应用规范》</w:t>
      </w:r>
      <w:r>
        <w:rPr>
          <w:rFonts w:hint="eastAsia" w:ascii="宋体" w:hAnsi="宋体" w:cs="宋体"/>
          <w:color w:val="000000" w:themeColor="text1"/>
          <w14:textFill>
            <w14:solidFill>
              <w14:schemeClr w14:val="tx1"/>
            </w14:solidFill>
          </w14:textFill>
        </w:rPr>
        <w:t>。</w:t>
      </w:r>
    </w:p>
    <w:p w14:paraId="5C0EED1A">
      <w:pPr>
        <w:pStyle w:val="7"/>
        <w:widowControl/>
        <w:spacing w:beforeAutospacing="0" w:afterAutospacing="0" w:line="520" w:lineRule="exact"/>
        <w:ind w:firstLine="480" w:firstLineChars="20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2.标准起草过程</w:t>
      </w:r>
    </w:p>
    <w:p w14:paraId="43AAD822">
      <w:pPr>
        <w:pStyle w:val="7"/>
        <w:widowControl/>
        <w:spacing w:beforeAutospacing="0" w:afterAutospacing="0" w:line="520" w:lineRule="exact"/>
        <w:ind w:firstLine="480" w:firstLineChars="20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2026年3月，团体标准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2026年</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cs="宋体"/>
          <w:color w:val="000000" w:themeColor="text1"/>
          <w14:textFill>
            <w14:solidFill>
              <w14:schemeClr w14:val="tx1"/>
            </w14:solidFill>
          </w14:textFill>
        </w:rPr>
        <w:t>月完成了标准初稿及编制说明的撰写工作。</w:t>
      </w:r>
    </w:p>
    <w:p w14:paraId="0C327A74">
      <w:pPr>
        <w:pStyle w:val="7"/>
        <w:widowControl/>
        <w:spacing w:beforeAutospacing="0" w:afterAutospacing="0" w:line="520" w:lineRule="exact"/>
        <w:ind w:firstLine="480" w:firstLineChars="20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3.征求意见情况</w:t>
      </w:r>
    </w:p>
    <w:p w14:paraId="07906F6A">
      <w:pPr>
        <w:pStyle w:val="7"/>
        <w:widowControl/>
        <w:spacing w:beforeAutospacing="0" w:afterAutospacing="0" w:line="520" w:lineRule="exact"/>
        <w:ind w:firstLine="480" w:firstLineChars="200"/>
        <w:jc w:val="both"/>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2026年</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月，标准编制小组先后通过线上会议、电话等多种形式征集行业专家相关意见和建议。针对征集的意见，标准编制小组召开了研讨会，将收集到的意见进行汇总处理分析，在充分吸纳合理意见的基础上，先后修改和完成标准内容，于2026年</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月根据在各单位反馈意见基础上，形成了标准征求意见稿，2026年</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月，由</w:t>
      </w:r>
      <w:r>
        <w:rPr>
          <w:rFonts w:hint="eastAsia" w:ascii="宋体" w:hAnsi="宋体" w:cs="宋体"/>
        </w:rPr>
        <w:t>中国西部开发促进会</w:t>
      </w:r>
      <w:r>
        <w:rPr>
          <w:rFonts w:hint="eastAsia" w:ascii="宋体" w:hAnsi="宋体" w:cs="宋体"/>
          <w:color w:val="000000" w:themeColor="text1"/>
          <w14:textFill>
            <w14:solidFill>
              <w14:schemeClr w14:val="tx1"/>
            </w14:solidFill>
          </w14:textFill>
        </w:rPr>
        <w:t>提交全国标准信息平台公示，同时由编制组向相关单位进行定向征求意见。</w:t>
      </w:r>
    </w:p>
    <w:p w14:paraId="4B0EDC9F">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1432928F">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732D46C5">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标准起草小组在编制标准过程中，以国家、行业现有的标准为制订基础，结合我国目前的行业现状，按照GB/T 1.1—2020《标准化工作导则 第1部分：标准化文件的结构和起草规则》的规定及相关要求编制。</w:t>
      </w:r>
    </w:p>
    <w:p w14:paraId="2B00F711">
      <w:pPr>
        <w:snapToGrid w:val="0"/>
        <w:spacing w:line="52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（二）标准主要内容与确定依据</w:t>
      </w:r>
    </w:p>
    <w:p w14:paraId="5F13189F">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1.标准主要内容</w:t>
      </w:r>
    </w:p>
    <w:p w14:paraId="7AA4769B">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1. 1范围</w:t>
      </w:r>
    </w:p>
    <w:p w14:paraId="129329B9">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本文件规定了化学分析用标准品管理与应用的术语和定义、分类与代号、总体要求、采购与验收、溯源与定值、贮存与保管、使用与配制、报废处置与档案追溯、检验规则和标志、包装、运输和贮存等内容。</w:t>
      </w:r>
    </w:p>
    <w:p w14:paraId="1840EA0C">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本文件适用于检验检测机构、科研院所、高等院校、制造企业实验室和第三方检测机构等在化学分析过程中使用的标准品的全生命周期管理，典型涵盖无机元素标准溶液、有机化合物标准品、气体标准物质、基体标准物质和质量控制样品等类别。</w:t>
      </w:r>
    </w:p>
    <w:p w14:paraId="0D5F8583">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1.2 规范性引用文件</w:t>
      </w:r>
    </w:p>
    <w:p w14:paraId="216E2513">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191 包装储运图形符号标志</w:t>
      </w:r>
    </w:p>
    <w:p w14:paraId="1990FF54">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601 化学试剂 标准滴定溶液的制备</w:t>
      </w:r>
    </w:p>
    <w:p w14:paraId="6AA0008C">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603 化学试剂 试验方法中所用制剂及制品的制备</w:t>
      </w:r>
    </w:p>
    <w:p w14:paraId="1741DC32">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2828.1 计数抽样检验程序 第1部分：按接收质量限(AQL)检索的逐批检验抽样计划</w:t>
      </w:r>
    </w:p>
    <w:p w14:paraId="54A91BC4">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 2894 安全色和安全标志</w:t>
      </w:r>
    </w:p>
    <w:p w14:paraId="769B117B">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6682 分析实验室用水规格和试验方法</w:t>
      </w:r>
    </w:p>
    <w:p w14:paraId="35FA8F60">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13306 标牌</w:t>
      </w:r>
    </w:p>
    <w:p w14:paraId="685B1ABB">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14666 分析化学术语</w:t>
      </w:r>
    </w:p>
    <w:p w14:paraId="0A1D755E">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15000.2 标准样品工作导则 第2部分：常用术语及定义</w:t>
      </w:r>
    </w:p>
    <w:p w14:paraId="272C4D2C">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15000.3 标准样品工作导则 第3部分：定值和均匀性与稳定性评估</w:t>
      </w:r>
    </w:p>
    <w:p w14:paraId="69996966">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15000.7 标准样品工作导则 第7部分：标准样品生产者能力的通用要求</w:t>
      </w:r>
    </w:p>
    <w:p w14:paraId="3D6D54C8">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15000.8 标准样品工作导则 第8部分：标准样品的使用</w:t>
      </w:r>
    </w:p>
    <w:p w14:paraId="265A579F">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19001 质量管理体系 要求</w:t>
      </w:r>
    </w:p>
    <w:p w14:paraId="72E035DE">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24001 环境管理体系 要求及使用指南</w:t>
      </w:r>
    </w:p>
    <w:p w14:paraId="1E7F6DF3">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27025 检测和校准实验室能力的通用要求</w:t>
      </w:r>
    </w:p>
    <w:p w14:paraId="19A9D720">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27418 测量不确定度的评定与表示</w:t>
      </w:r>
    </w:p>
    <w:p w14:paraId="23AEA3EB">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GB/T 32465 化学分析方法验证确认和内部质量控制要求</w:t>
      </w:r>
    </w:p>
    <w:p w14:paraId="53272A00">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 xml:space="preserve">GB/T 45001 职业健康安全管理体系 要求及使用指南 </w:t>
      </w:r>
    </w:p>
    <w:p w14:paraId="208329EE">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1.3 术语和定义</w:t>
      </w:r>
    </w:p>
    <w:p w14:paraId="62EC4076">
      <w:pPr>
        <w:pStyle w:val="4"/>
        <w:spacing w:line="360" w:lineRule="auto"/>
        <w:ind w:firstLine="480" w:firstLineChars="200"/>
        <w:rPr>
          <w:rFonts w:hint="eastAsia" w:ascii="宋体" w:hAnsi="宋体" w:cs="宋体"/>
          <w:b w:val="0"/>
          <w:bCs w:val="0"/>
          <w:color w:val="auto"/>
          <w:sz w:val="24"/>
          <w:szCs w:val="24"/>
        </w:rPr>
      </w:pPr>
      <w:r>
        <w:rPr>
          <w:rFonts w:ascii="宋体" w:hAnsi="宋体" w:cs="宋体"/>
          <w:b w:val="0"/>
          <w:bCs w:val="0"/>
          <w:color w:val="auto"/>
          <w:sz w:val="24"/>
          <w:szCs w:val="24"/>
        </w:rPr>
        <w:t>GB/T 14666、GB/T 15000.2、GB/T 27025</w:t>
      </w:r>
      <w:r>
        <w:rPr>
          <w:rFonts w:hint="eastAsia" w:ascii="宋体" w:hAnsi="宋体" w:cs="宋体"/>
          <w:b w:val="0"/>
          <w:bCs w:val="0"/>
          <w:color w:val="auto"/>
          <w:sz w:val="24"/>
          <w:szCs w:val="24"/>
        </w:rPr>
        <w:t>界定的以及下列术语和定义适用于本文件。</w:t>
      </w:r>
    </w:p>
    <w:p w14:paraId="1C71E721">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1.4分类与代号</w:t>
      </w:r>
    </w:p>
    <w:p w14:paraId="58BCA4EB">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对分类与代号进行规定。</w:t>
      </w:r>
    </w:p>
    <w:p w14:paraId="580FB398">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1.5总体要求</w:t>
      </w:r>
    </w:p>
    <w:p w14:paraId="6D69C175">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对总体要求进行规定。</w:t>
      </w:r>
    </w:p>
    <w:p w14:paraId="0D2F8D48">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1.6采购与验收</w:t>
      </w:r>
    </w:p>
    <w:p w14:paraId="744BCCA8">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对采购与验收进行规定。</w:t>
      </w:r>
    </w:p>
    <w:p w14:paraId="1AF75081">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1.7溯源与定值</w:t>
      </w:r>
    </w:p>
    <w:p w14:paraId="1CD827ED">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对溯源与定值进行规定。</w:t>
      </w:r>
    </w:p>
    <w:p w14:paraId="2B807861">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1.8贮存与保管</w:t>
      </w:r>
    </w:p>
    <w:p w14:paraId="7A96ED70">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对贮存与保管进行规定。</w:t>
      </w:r>
    </w:p>
    <w:p w14:paraId="0B1FD77A">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1.9使用与配置</w:t>
      </w:r>
    </w:p>
    <w:p w14:paraId="5F9A2B7A">
      <w:pPr>
        <w:pStyle w:val="4"/>
        <w:spacing w:line="360" w:lineRule="auto"/>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对使用与配置进行规定。</w:t>
      </w:r>
    </w:p>
    <w:p w14:paraId="761D06F9">
      <w:pPr>
        <w:rPr>
          <w:rFonts w:ascii="宋体" w:hAnsi="宋体" w:cs="宋体"/>
          <w:sz w:val="24"/>
          <w:szCs w:val="24"/>
        </w:rPr>
      </w:pPr>
      <w:r>
        <w:rPr>
          <w:rFonts w:ascii="宋体" w:hAnsi="宋体" w:cs="宋体"/>
          <w:sz w:val="24"/>
          <w:szCs w:val="24"/>
        </w:rPr>
        <w:tab/>
      </w:r>
      <w:r>
        <w:rPr>
          <w:rFonts w:hint="eastAsia" w:ascii="宋体" w:hAnsi="宋体" w:cs="宋体"/>
          <w:sz w:val="24"/>
          <w:szCs w:val="24"/>
        </w:rPr>
        <w:t>1.10报废处置与档案追溯</w:t>
      </w:r>
    </w:p>
    <w:p w14:paraId="0CA649D6">
      <w:pPr>
        <w:rPr>
          <w:rFonts w:ascii="宋体" w:hAnsi="宋体" w:cs="宋体"/>
          <w:sz w:val="24"/>
          <w:szCs w:val="24"/>
        </w:rPr>
      </w:pPr>
      <w:r>
        <w:rPr>
          <w:rFonts w:ascii="宋体" w:hAnsi="宋体" w:cs="宋体"/>
          <w:sz w:val="24"/>
          <w:szCs w:val="24"/>
        </w:rPr>
        <w:tab/>
      </w:r>
      <w:r>
        <w:rPr>
          <w:rFonts w:hint="eastAsia" w:ascii="宋体" w:hAnsi="宋体" w:cs="宋体"/>
          <w:sz w:val="24"/>
          <w:szCs w:val="24"/>
        </w:rPr>
        <w:t>对报废处置与档案追述进行规定。</w:t>
      </w:r>
    </w:p>
    <w:p w14:paraId="2218E0DC">
      <w:pPr>
        <w:rPr>
          <w:rFonts w:ascii="宋体" w:hAnsi="宋体" w:cs="宋体"/>
          <w:sz w:val="24"/>
          <w:szCs w:val="24"/>
        </w:rPr>
      </w:pPr>
      <w:r>
        <w:rPr>
          <w:rFonts w:ascii="宋体" w:hAnsi="宋体" w:cs="宋体"/>
          <w:sz w:val="24"/>
          <w:szCs w:val="24"/>
        </w:rPr>
        <w:tab/>
      </w:r>
      <w:r>
        <w:rPr>
          <w:rFonts w:hint="eastAsia" w:ascii="宋体" w:hAnsi="宋体" w:cs="宋体"/>
          <w:sz w:val="24"/>
          <w:szCs w:val="24"/>
        </w:rPr>
        <w:t>1.11检验规则</w:t>
      </w:r>
    </w:p>
    <w:p w14:paraId="0E6B34CC">
      <w:pPr>
        <w:rPr>
          <w:rFonts w:ascii="宋体" w:hAnsi="宋体" w:cs="宋体"/>
          <w:sz w:val="24"/>
          <w:szCs w:val="24"/>
        </w:rPr>
      </w:pPr>
      <w:r>
        <w:rPr>
          <w:rFonts w:ascii="宋体" w:hAnsi="宋体" w:cs="宋体"/>
          <w:sz w:val="24"/>
          <w:szCs w:val="24"/>
        </w:rPr>
        <w:tab/>
      </w:r>
      <w:r>
        <w:rPr>
          <w:rFonts w:hint="eastAsia" w:ascii="宋体" w:hAnsi="宋体" w:cs="宋体"/>
          <w:sz w:val="24"/>
          <w:szCs w:val="24"/>
        </w:rPr>
        <w:t>对检验规则进行规定。</w:t>
      </w:r>
    </w:p>
    <w:p w14:paraId="24901184">
      <w:pPr>
        <w:rPr>
          <w:rFonts w:ascii="宋体" w:hAnsi="宋体" w:cs="宋体"/>
          <w:sz w:val="24"/>
          <w:szCs w:val="24"/>
        </w:rPr>
      </w:pPr>
      <w:r>
        <w:rPr>
          <w:rFonts w:ascii="宋体" w:hAnsi="宋体" w:cs="宋体"/>
          <w:sz w:val="24"/>
          <w:szCs w:val="24"/>
        </w:rPr>
        <w:tab/>
      </w:r>
      <w:r>
        <w:rPr>
          <w:rFonts w:hint="eastAsia" w:ascii="宋体" w:hAnsi="宋体" w:cs="宋体"/>
          <w:sz w:val="24"/>
          <w:szCs w:val="24"/>
        </w:rPr>
        <w:t>1.12标志、包装、运输和贮存</w:t>
      </w:r>
    </w:p>
    <w:p w14:paraId="7E273FE3">
      <w:pPr>
        <w:rPr>
          <w:rFonts w:hint="eastAsia" w:ascii="宋体" w:hAnsi="宋体" w:cs="宋体"/>
          <w:sz w:val="24"/>
          <w:szCs w:val="24"/>
        </w:rPr>
      </w:pPr>
      <w:r>
        <w:rPr>
          <w:rFonts w:ascii="宋体" w:hAnsi="宋体" w:cs="宋体"/>
          <w:sz w:val="24"/>
          <w:szCs w:val="24"/>
        </w:rPr>
        <w:tab/>
      </w:r>
      <w:r>
        <w:rPr>
          <w:rFonts w:hint="eastAsia" w:ascii="宋体" w:hAnsi="宋体" w:cs="宋体"/>
          <w:sz w:val="24"/>
          <w:szCs w:val="24"/>
        </w:rPr>
        <w:t>对标志、包装、运输和贮存进行规定。</w:t>
      </w:r>
    </w:p>
    <w:p w14:paraId="3882BE17">
      <w:pPr>
        <w:pStyle w:val="4"/>
        <w:spacing w:line="360" w:lineRule="auto"/>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2.</w:t>
      </w:r>
      <w:bookmarkStart w:id="0" w:name="OLE_LINK4"/>
      <w:r>
        <w:rPr>
          <w:rFonts w:hint="eastAsia" w:ascii="宋体" w:hAnsi="宋体" w:cs="宋体"/>
          <w:b w:val="0"/>
          <w:bCs w:val="0"/>
          <w:color w:val="auto"/>
          <w:sz w:val="24"/>
          <w:szCs w:val="24"/>
        </w:rPr>
        <w:t>确定标准主要内容的依据</w:t>
      </w:r>
    </w:p>
    <w:bookmarkEnd w:id="0"/>
    <w:p w14:paraId="0AC338DF">
      <w:pPr>
        <w:pStyle w:val="4"/>
        <w:spacing w:line="360" w:lineRule="auto"/>
        <w:ind w:firstLine="480" w:firstLineChars="200"/>
        <w:rPr>
          <w:rFonts w:hint="eastAsia" w:ascii="宋体" w:hAnsi="宋体" w:cs="宋体"/>
          <w:b w:val="0"/>
          <w:bCs w:val="0"/>
          <w:color w:val="auto"/>
          <w:sz w:val="24"/>
          <w:szCs w:val="24"/>
        </w:rPr>
      </w:pPr>
      <w:r>
        <w:rPr>
          <w:rFonts w:ascii="宋体" w:hAnsi="宋体" w:cs="宋体"/>
          <w:b w:val="0"/>
          <w:bCs w:val="0"/>
          <w:color w:val="auto"/>
          <w:sz w:val="24"/>
          <w:szCs w:val="24"/>
        </w:rPr>
        <w:t>本文件的制定严格遵循相关法律法规及标准要求。参考GB/T 15000.2《标准样品工作导则 第2部分：常用术语及定义》、GB/T 15000.3《标准样品工作导则 第3部分：定值和均匀性与稳定性评估》、GB/T 15000.7《标准样品工作导则 第7部分：标准样品生产者能力的通用要求》及GB/T 15000.8《标准样品工作导则 第8部分：标准样品的使用》等现行国家标准，为化学分析用标准品的全生命周期管理提供了基础技术框架，是本文件的核心技术参考。</w:t>
      </w:r>
    </w:p>
    <w:p w14:paraId="7E69858B">
      <w:pPr>
        <w:pStyle w:val="4"/>
        <w:spacing w:line="360" w:lineRule="auto"/>
        <w:ind w:firstLine="480" w:firstLineChars="200"/>
        <w:rPr>
          <w:rFonts w:hint="eastAsia" w:ascii="宋体" w:hAnsi="宋体" w:cs="宋体"/>
          <w:b w:val="0"/>
          <w:bCs w:val="0"/>
          <w:color w:val="auto"/>
          <w:sz w:val="24"/>
          <w:szCs w:val="24"/>
        </w:rPr>
      </w:pPr>
      <w:bookmarkStart w:id="1" w:name="OLE_LINK5"/>
      <w:r>
        <w:rPr>
          <w:rFonts w:ascii="宋体" w:hAnsi="宋体" w:cs="宋体"/>
          <w:b w:val="0"/>
          <w:bCs w:val="0"/>
          <w:color w:val="auto"/>
          <w:sz w:val="24"/>
          <w:szCs w:val="24"/>
        </w:rPr>
        <w:t>结合国内检验检测、科研院所及高等院校等机构的实际发展现状与监管需求，充分考虑不同标准品类型（如无机元素标准溶液、有机化合物标准品、气体标准物质、基体标准物质等）在化学分析过程中的差异化要求，以及标准品在全生命周期管理中的应用特点。涵盖了从采购验收、溯源定值、贮存保管、使用配制到报废处置与档案追溯的全流程管理环节，包括标准品分类（按组成性质、溯源级别、危险特性）、量值溯源、期间核查、环境控制、库存管理、配制误差控制以及方法质量控制等关键参数的规范操作、记录与监控。确保标准内容既贴合GB/T 27025《检测和校准实验室能力的通用要求》等政策导向，又具备行业实用性和可操作性。最后，依据GB/T 19001《质量管理体系 要求》及数据质量管理相关原则，制定了严格的标准品档案追溯、数据完整性、报废处置及定期审查要求，确保化学分析用标准品管理全过程的合规性、真实性、完整性与可追溯性，保障检测结果的准确可靠。</w:t>
      </w:r>
    </w:p>
    <w:bookmarkEnd w:id="1"/>
    <w:p w14:paraId="31353117">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bookmarkStart w:id="2" w:name="OLE_LINK6"/>
      <w:r>
        <w:rPr>
          <w:rFonts w:hint="eastAsia" w:ascii="黑体" w:hAnsi="黑体" w:eastAsia="黑体" w:cs="黑体"/>
          <w:color w:val="333333"/>
          <w:sz w:val="28"/>
          <w:szCs w:val="28"/>
          <w:shd w:val="clear" w:color="auto" w:fill="FFFFFF"/>
        </w:rPr>
        <w:t>主要试验[或验证]情况分析、技术经济论证、预期经济效果</w:t>
      </w:r>
    </w:p>
    <w:bookmarkEnd w:id="2"/>
    <w:p w14:paraId="011319BB">
      <w:pPr>
        <w:ind w:firstLine="480" w:firstLineChars="200"/>
        <w:rPr>
          <w:rFonts w:ascii="Times New Roman" w:hAnsi="Times New Roman" w:cs="Times New Roman"/>
          <w:sz w:val="24"/>
          <w:szCs w:val="24"/>
        </w:rPr>
      </w:pPr>
      <w:bookmarkStart w:id="3" w:name="OLE_LINK7"/>
      <w:r>
        <w:rPr>
          <w:rFonts w:ascii="Times New Roman" w:hAnsi="Times New Roman" w:cs="Times New Roman"/>
          <w:sz w:val="24"/>
          <w:szCs w:val="24"/>
        </w:rPr>
        <w:t>试验情况的分析包括针对《化学分析用标准品管理与应用规范》，开展了一系列全面且细致的试验与验证工作。模拟不同温湿度条件、储存周期、操作频次及基质类型（如水溶液、有机溶剂、固体粉末等）下的实际实验室环境，评估标准品全生命周期管理的规范性与稳定性。关键试验包括：标准品验收与溯源性核查（证书信息、不确定度评估）、储存环境稳定性测试（常温、冷藏、冷冻条件下的温湿度波动影响）、开封后有效期验证（多次取样后的浓度漂移与降解趋势）、配制标准溶液准确性测试（称量误差、定容误差、纯度因子修正等）、期间核查方法有效性测试（与高一级标准品比对、回收率验证）以及废弃处置合规性测试。通过试验，准确确定标准品管理的关键控制节点与质量评价指标，确保规范能够真实反映实际使用场景下的量值准确性与数据可靠性。</w:t>
      </w:r>
    </w:p>
    <w:p w14:paraId="54CEC68A">
      <w:pPr>
        <w:ind w:firstLine="480" w:firstLineChars="200"/>
        <w:rPr>
          <w:rFonts w:ascii="Times New Roman" w:hAnsi="Times New Roman" w:cs="Times New Roman"/>
          <w:sz w:val="24"/>
          <w:szCs w:val="24"/>
        </w:rPr>
      </w:pPr>
      <w:r>
        <w:rPr>
          <w:rFonts w:ascii="Times New Roman" w:hAnsi="Times New Roman" w:cs="Times New Roman"/>
          <w:sz w:val="24"/>
          <w:szCs w:val="24"/>
        </w:rPr>
        <w:t>从技术经济角度出发，制定《化学分析用标准品管理与应用规范》团体标准具有极其重要的意义。在技术层面，一方面，该规范的制定将统一化学分析用标准品的采购验收、储存保管、使用配制、期间核查及报废处置等全流程技术要求与管理方法。引入先进的实验室信息化管理系统（LIMS）、自动化称量与配液设备、高精度温湿度监控物联网、基于统计过程控制（SPC）的期间核查趋势分析模型、标准品有效期预测模型等，能够显著提高标准品管理的精细化、智能化水平。这些技术手段不仅提升了标准品量值传递的准确性与可追溯性，还能减少因管理不规范导致的标准品失效、交叉污染、配制误差等问题，为检验检测机构提供统一、科学的技术支撑，助力应对GB/T 27025实验室能力认可及各类外部评审要求。</w:t>
      </w:r>
    </w:p>
    <w:p w14:paraId="2BC9D8CF">
      <w:pPr>
        <w:ind w:firstLine="480" w:firstLineChars="200"/>
        <w:rPr>
          <w:rFonts w:ascii="Times New Roman" w:hAnsi="Times New Roman" w:cs="Times New Roman"/>
          <w:sz w:val="24"/>
          <w:szCs w:val="24"/>
        </w:rPr>
      </w:pPr>
      <w:r>
        <w:rPr>
          <w:rFonts w:ascii="Times New Roman" w:hAnsi="Times New Roman" w:cs="Times New Roman"/>
          <w:sz w:val="24"/>
          <w:szCs w:val="24"/>
        </w:rPr>
        <w:t>预期经济效果主要体现在三方面：一是降低实验室运营成本，通过规范化的标准品采购与库存管理，减少重复采购和过量储备，延长标准品有效使用周期，降低试剂耗材浪费；二是减少不合格检测与OOS调查损失，标准化的配制与核查流程可显著降低因标准品问题导致的检测偏差、结果复测及生产延误等隐性成本；三是提升检测公信力与市场竞争力，实现标准品全生命周期可追溯，增强客户对检测结果的信任度，同时促进实验室精益化管理，符合检验检测行业高质量发展与降本增效的战略目标。</w:t>
      </w:r>
    </w:p>
    <w:bookmarkEnd w:id="3"/>
    <w:p w14:paraId="798F4B1F">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0941E0DF">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本标准的制定过程、技术要求的选定、试验方法的确定、检验项目设置等符合现行法律、法规和强制性国家标准的规定。</w:t>
      </w:r>
    </w:p>
    <w:p w14:paraId="3F5C812F">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5AD4CE6D">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无。</w:t>
      </w:r>
    </w:p>
    <w:p w14:paraId="31000A15">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698FA357">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本标准不涉及对现行标准的废止。</w:t>
      </w:r>
    </w:p>
    <w:p w14:paraId="467A2708">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知识产权情况说明</w:t>
      </w:r>
    </w:p>
    <w:p w14:paraId="5738435C">
      <w:pPr>
        <w:adjustRightInd/>
        <w:spacing w:line="52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本文件不涉及必要专利等知识产权情况。</w:t>
      </w:r>
    </w:p>
    <w:p w14:paraId="247CF804">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标准作为强制性或推荐性标准的建议</w:t>
      </w:r>
    </w:p>
    <w:p w14:paraId="694371E4">
      <w:pPr>
        <w:adjustRightInd/>
        <w:spacing w:line="52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建议该标准作为推荐性团体标准。</w:t>
      </w:r>
    </w:p>
    <w:p w14:paraId="5B7519C2">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贯彻标准的要求和措施建议，包括（组织措施、技术措施、过渡办法）</w:t>
      </w:r>
    </w:p>
    <w:p w14:paraId="366A10D4">
      <w:pPr>
        <w:adjustRightInd/>
        <w:spacing w:line="52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本标准首次制定，没有特殊要求。</w:t>
      </w:r>
    </w:p>
    <w:p w14:paraId="1E145754">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0D6701D8">
      <w:pPr>
        <w:adjustRightInd/>
        <w:spacing w:line="52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 xml:space="preserve">无。 </w:t>
      </w:r>
    </w:p>
    <w:p w14:paraId="43BE6428">
      <w:pPr>
        <w:adjustRightInd/>
        <w:spacing w:line="520" w:lineRule="exact"/>
        <w:ind w:right="240" w:firstLine="480" w:firstLineChars="200"/>
        <w:jc w:val="right"/>
        <w:rPr>
          <w:rFonts w:ascii="Times New Roman" w:hAnsi="Times New Roman" w:cs="Times New Roman"/>
          <w:sz w:val="24"/>
          <w:szCs w:val="24"/>
        </w:rPr>
      </w:pPr>
      <w:r>
        <w:rPr>
          <w:rFonts w:hint="eastAsia" w:ascii="Times New Roman" w:hAnsi="Times New Roman" w:cs="Times New Roman"/>
          <w:sz w:val="24"/>
          <w:szCs w:val="24"/>
        </w:rPr>
        <w:t>《化学分析用标准品管理与应用规范》团体标准编制组</w:t>
      </w:r>
    </w:p>
    <w:p w14:paraId="7A151E35">
      <w:pPr>
        <w:adjustRightInd/>
        <w:spacing w:line="520" w:lineRule="exact"/>
        <w:ind w:right="240" w:firstLine="480" w:firstLineChars="200"/>
        <w:jc w:val="right"/>
        <w:rPr>
          <w:rFonts w:hint="eastAsia" w:cs="Times New Roman" w:asciiTheme="minorEastAsia" w:hAnsiTheme="minorEastAsia" w:eastAsiaTheme="minorEastAsia"/>
          <w:sz w:val="24"/>
          <w:szCs w:val="24"/>
        </w:rPr>
      </w:pPr>
      <w:bookmarkStart w:id="4" w:name="_GoBack"/>
      <w:bookmarkEnd w:id="4"/>
      <w:r>
        <w:rPr>
          <w:rFonts w:hint="eastAsia" w:cs="Times New Roman" w:asciiTheme="minorEastAsia" w:hAnsiTheme="minorEastAsia" w:eastAsiaTheme="minorEastAsia"/>
          <w:sz w:val="24"/>
          <w:szCs w:val="24"/>
        </w:rPr>
        <w:t>2026年</w:t>
      </w:r>
      <w:r>
        <w:rPr>
          <w:rFonts w:hint="eastAsia" w:cs="Times New Roman" w:asciiTheme="minorEastAsia" w:hAnsiTheme="minorEastAsia" w:eastAsiaTheme="minorEastAsia"/>
          <w:sz w:val="24"/>
          <w:szCs w:val="24"/>
          <w:lang w:val="en-US" w:eastAsia="zh-CN"/>
        </w:rPr>
        <w:t>6</w:t>
      </w:r>
      <w:r>
        <w:rPr>
          <w:rFonts w:hint="eastAsia" w:cs="Times New Roman" w:asciiTheme="minorEastAsia" w:hAnsiTheme="minorEastAsia" w:eastAsiaTheme="minorEastAsia"/>
          <w:sz w:val="24"/>
          <w:szCs w:val="24"/>
        </w:rPr>
        <w:t>月</w:t>
      </w:r>
    </w:p>
    <w:sectPr>
      <w:footerReference r:id="rId6" w:type="first"/>
      <w:footerReference r:id="rId5"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16368">
    <w:pPr>
      <w:pStyle w:val="5"/>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1AAA2">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51AAA2">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D3C3B">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A6C2B">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49A6C2B">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EA28"/>
    <w:multiLevelType w:val="singleLevel"/>
    <w:tmpl w:val="DF77EA28"/>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MzE1NmU5NGVjNjg2MzIyYjQyMTM1ZjkxNWYxOTEifQ=="/>
  </w:docVars>
  <w:rsids>
    <w:rsidRoot w:val="59344C26"/>
    <w:rsid w:val="00003F8E"/>
    <w:rsid w:val="00016B87"/>
    <w:rsid w:val="00031262"/>
    <w:rsid w:val="000678C8"/>
    <w:rsid w:val="000806D8"/>
    <w:rsid w:val="000C2941"/>
    <w:rsid w:val="000F65EC"/>
    <w:rsid w:val="00176E27"/>
    <w:rsid w:val="001A2C3B"/>
    <w:rsid w:val="001C7528"/>
    <w:rsid w:val="001E0BCA"/>
    <w:rsid w:val="001F5F4A"/>
    <w:rsid w:val="0022665B"/>
    <w:rsid w:val="002542A8"/>
    <w:rsid w:val="00262087"/>
    <w:rsid w:val="00286631"/>
    <w:rsid w:val="002D5E86"/>
    <w:rsid w:val="002E5B6E"/>
    <w:rsid w:val="00300DC4"/>
    <w:rsid w:val="00316E46"/>
    <w:rsid w:val="00396248"/>
    <w:rsid w:val="003E5C4C"/>
    <w:rsid w:val="004708A7"/>
    <w:rsid w:val="00480E96"/>
    <w:rsid w:val="004A39DC"/>
    <w:rsid w:val="004B0929"/>
    <w:rsid w:val="00582A2F"/>
    <w:rsid w:val="005C11CB"/>
    <w:rsid w:val="005E679A"/>
    <w:rsid w:val="00656B83"/>
    <w:rsid w:val="0069157B"/>
    <w:rsid w:val="006B7F9F"/>
    <w:rsid w:val="006D57C9"/>
    <w:rsid w:val="00780B13"/>
    <w:rsid w:val="007A6776"/>
    <w:rsid w:val="007D220E"/>
    <w:rsid w:val="007E0D2E"/>
    <w:rsid w:val="008500B8"/>
    <w:rsid w:val="00854C48"/>
    <w:rsid w:val="00854F26"/>
    <w:rsid w:val="00872961"/>
    <w:rsid w:val="00877D40"/>
    <w:rsid w:val="008A3E62"/>
    <w:rsid w:val="00920FC6"/>
    <w:rsid w:val="009365DD"/>
    <w:rsid w:val="00953173"/>
    <w:rsid w:val="00953DD1"/>
    <w:rsid w:val="009757C1"/>
    <w:rsid w:val="009B2A7D"/>
    <w:rsid w:val="009C3A75"/>
    <w:rsid w:val="009F158D"/>
    <w:rsid w:val="00A450BA"/>
    <w:rsid w:val="00A75E6B"/>
    <w:rsid w:val="00AD07F2"/>
    <w:rsid w:val="00AE10C4"/>
    <w:rsid w:val="00B25D6A"/>
    <w:rsid w:val="00BE37FD"/>
    <w:rsid w:val="00BF2017"/>
    <w:rsid w:val="00C127FD"/>
    <w:rsid w:val="00C17787"/>
    <w:rsid w:val="00C344DD"/>
    <w:rsid w:val="00C67D00"/>
    <w:rsid w:val="00D30CDC"/>
    <w:rsid w:val="00D468A7"/>
    <w:rsid w:val="00D61D27"/>
    <w:rsid w:val="00D7177C"/>
    <w:rsid w:val="00D87494"/>
    <w:rsid w:val="00DD773B"/>
    <w:rsid w:val="00DF18E0"/>
    <w:rsid w:val="00EC3847"/>
    <w:rsid w:val="00ED1C2C"/>
    <w:rsid w:val="00EF14A0"/>
    <w:rsid w:val="00F339D1"/>
    <w:rsid w:val="00F371BA"/>
    <w:rsid w:val="00F663F7"/>
    <w:rsid w:val="00F9799E"/>
    <w:rsid w:val="00F97C40"/>
    <w:rsid w:val="00FD38D1"/>
    <w:rsid w:val="00FD47E3"/>
    <w:rsid w:val="026D6E02"/>
    <w:rsid w:val="02F25185"/>
    <w:rsid w:val="09D021AA"/>
    <w:rsid w:val="09E013D8"/>
    <w:rsid w:val="0E125B51"/>
    <w:rsid w:val="0EF73150"/>
    <w:rsid w:val="10060813"/>
    <w:rsid w:val="10881F42"/>
    <w:rsid w:val="11E24C48"/>
    <w:rsid w:val="127A0195"/>
    <w:rsid w:val="15E52C78"/>
    <w:rsid w:val="1732672E"/>
    <w:rsid w:val="178A75E4"/>
    <w:rsid w:val="1A554829"/>
    <w:rsid w:val="1C6642AB"/>
    <w:rsid w:val="1E237678"/>
    <w:rsid w:val="1E6E623A"/>
    <w:rsid w:val="202076CF"/>
    <w:rsid w:val="20D677C0"/>
    <w:rsid w:val="2177331E"/>
    <w:rsid w:val="2194727B"/>
    <w:rsid w:val="223573AF"/>
    <w:rsid w:val="22A266A4"/>
    <w:rsid w:val="23453A48"/>
    <w:rsid w:val="27133B25"/>
    <w:rsid w:val="27E957C6"/>
    <w:rsid w:val="28655A50"/>
    <w:rsid w:val="2C2916B9"/>
    <w:rsid w:val="2D203755"/>
    <w:rsid w:val="2DBD655D"/>
    <w:rsid w:val="330927AE"/>
    <w:rsid w:val="358362DE"/>
    <w:rsid w:val="36916617"/>
    <w:rsid w:val="37AD13F0"/>
    <w:rsid w:val="39CE4183"/>
    <w:rsid w:val="3B8D6699"/>
    <w:rsid w:val="3CC33464"/>
    <w:rsid w:val="3E13692E"/>
    <w:rsid w:val="3EB47508"/>
    <w:rsid w:val="3EB827C1"/>
    <w:rsid w:val="3F8F0DE9"/>
    <w:rsid w:val="45837C34"/>
    <w:rsid w:val="491238A7"/>
    <w:rsid w:val="4AF62C56"/>
    <w:rsid w:val="4B5072BB"/>
    <w:rsid w:val="4B5510D9"/>
    <w:rsid w:val="52A075B6"/>
    <w:rsid w:val="59344C26"/>
    <w:rsid w:val="5A3B68D8"/>
    <w:rsid w:val="5BA962C1"/>
    <w:rsid w:val="5BC80BA0"/>
    <w:rsid w:val="5F8F42AD"/>
    <w:rsid w:val="5FB93C59"/>
    <w:rsid w:val="610E43FE"/>
    <w:rsid w:val="61A905CB"/>
    <w:rsid w:val="61EB2350"/>
    <w:rsid w:val="621517BC"/>
    <w:rsid w:val="6299419B"/>
    <w:rsid w:val="63F51786"/>
    <w:rsid w:val="66AD645E"/>
    <w:rsid w:val="67332E10"/>
    <w:rsid w:val="699403C8"/>
    <w:rsid w:val="6B3B6A1E"/>
    <w:rsid w:val="6BB84480"/>
    <w:rsid w:val="70B155EE"/>
    <w:rsid w:val="74B11819"/>
    <w:rsid w:val="74DE4FB2"/>
    <w:rsid w:val="768B2463"/>
    <w:rsid w:val="77C33D3D"/>
    <w:rsid w:val="787816EA"/>
    <w:rsid w:val="7AC202DC"/>
    <w:rsid w:val="7B05054F"/>
    <w:rsid w:val="7BC46246"/>
    <w:rsid w:val="7C55517F"/>
    <w:rsid w:val="7D1F6674"/>
    <w:rsid w:val="7EBB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character" w:default="1" w:styleId="9">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link w:val="17"/>
    <w:autoRedefine/>
    <w:qFormat/>
    <w:uiPriority w:val="0"/>
    <w:pPr>
      <w:spacing w:before="50" w:line="360" w:lineRule="exact"/>
    </w:pPr>
    <w:rPr>
      <w:b/>
      <w:bCs/>
      <w:color w:val="FF0000"/>
      <w:sz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szCs w:val="24"/>
    </w:rPr>
  </w:style>
  <w:style w:type="character" w:styleId="10">
    <w:name w:val="Strong"/>
    <w:basedOn w:val="9"/>
    <w:autoRedefine/>
    <w:qFormat/>
    <w:uiPriority w:val="22"/>
    <w:rPr>
      <w:b/>
      <w:bCs/>
    </w:rPr>
  </w:style>
  <w:style w:type="character" w:customStyle="1" w:styleId="11">
    <w:name w:val="页眉 字符"/>
    <w:basedOn w:val="9"/>
    <w:link w:val="6"/>
    <w:autoRedefine/>
    <w:qFormat/>
    <w:uiPriority w:val="0"/>
    <w:rPr>
      <w:rFonts w:ascii="Calibri" w:hAnsi="Calibri" w:eastAsia="宋体" w:cs="Calibri"/>
      <w:kern w:val="2"/>
      <w:sz w:val="18"/>
      <w:szCs w:val="18"/>
    </w:rPr>
  </w:style>
  <w:style w:type="paragraph" w:customStyle="1" w:styleId="12">
    <w:name w:val="段"/>
    <w:basedOn w:val="1"/>
    <w:link w:val="14"/>
    <w:autoRedefine/>
    <w:qFormat/>
    <w:uiPriority w:val="0"/>
    <w:pPr>
      <w:spacing w:line="240" w:lineRule="auto"/>
      <w:ind w:firstLine="420" w:firstLineChars="200"/>
    </w:pPr>
    <w:rPr>
      <w:rFonts w:ascii="Times New Roman" w:hAnsi="Times New Roman"/>
    </w:rPr>
  </w:style>
  <w:style w:type="character" w:customStyle="1" w:styleId="13">
    <w:name w:val="页脚 字符"/>
    <w:basedOn w:val="9"/>
    <w:link w:val="5"/>
    <w:autoRedefine/>
    <w:qFormat/>
    <w:uiPriority w:val="99"/>
    <w:rPr>
      <w:rFonts w:ascii="Calibri" w:hAnsi="Calibri" w:cs="Calibri"/>
      <w:kern w:val="2"/>
      <w:sz w:val="18"/>
      <w:szCs w:val="18"/>
    </w:rPr>
  </w:style>
  <w:style w:type="character" w:customStyle="1" w:styleId="14">
    <w:name w:val="段 字符"/>
    <w:basedOn w:val="9"/>
    <w:link w:val="12"/>
    <w:autoRedefine/>
    <w:qFormat/>
    <w:uiPriority w:val="0"/>
    <w:rPr>
      <w:rFonts w:cs="Calibri"/>
      <w:kern w:val="2"/>
      <w:sz w:val="21"/>
      <w:szCs w:val="21"/>
    </w:rPr>
  </w:style>
  <w:style w:type="paragraph" w:customStyle="1" w:styleId="15">
    <w:name w:val="正文段落，引导语"/>
    <w:basedOn w:val="12"/>
    <w:autoRedefine/>
    <w:qFormat/>
    <w:uiPriority w:val="0"/>
    <w:rPr>
      <w:rFonts w:ascii="宋体" w:hAnsi="宋体"/>
    </w:rPr>
  </w:style>
  <w:style w:type="paragraph" w:customStyle="1" w:styleId="16">
    <w:name w:val="一级条标题"/>
    <w:next w:val="12"/>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character" w:customStyle="1" w:styleId="17">
    <w:name w:val="正文文本 字符"/>
    <w:basedOn w:val="9"/>
    <w:link w:val="4"/>
    <w:qFormat/>
    <w:uiPriority w:val="0"/>
    <w:rPr>
      <w:rFonts w:ascii="Calibri" w:hAnsi="Calibri" w:cs="Calibri"/>
      <w:b/>
      <w:bCs/>
      <w:color w:val="FF0000"/>
      <w:kern w:val="2"/>
      <w:sz w:val="18"/>
      <w:szCs w:val="21"/>
    </w:rPr>
  </w:style>
  <w:style w:type="paragraph" w:styleId="1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3858</Words>
  <Characters>4141</Characters>
  <Lines>91</Lines>
  <Paragraphs>104</Paragraphs>
  <TotalTime>24</TotalTime>
  <ScaleCrop>false</ScaleCrop>
  <LinksUpToDate>false</LinksUpToDate>
  <CharactersWithSpaces>4215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2024-02-21T02:44:00Z</dcterms:created>
  <dc:creator>Admin</dc:creator>
  <cp:lastModifiedBy>Shimmer</cp:lastModifiedBy>
  <cp:lastPrinted>2024-05-17T07:43:00Z</cp:lastPrinted>
  <dcterms:modified xsi:type="dcterms:W3CDTF">2026-06-24T08:29:49Z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0B199DE84D00435F8A77953114D6BAFA_13</vt:lpwstr>
  </property>
  <property fmtid="{D5CDD505-2E9C-101B-9397-08002B2CF9AE}" pid="4" name="KSOTemplateDocerSaveRecord">
    <vt:lpwstr>eyJoZGlkIjoiYmMyN2Y1NjU1MGJkOTJlMGU2NjMwODJlNzlmZmZjZDkiLCJ1c2VySWQiOiIxNjEyNTI2NzM3In0=</vt:lpwstr>
  </property>
</Properties>
</file>