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304824969"/>
      <w:bookmarkStart w:id="1" w:name="_Toc298937100"/>
      <w:bookmarkStart w:id="2" w:name="_Toc298937357"/>
      <w:bookmarkStart w:id="3" w:name="_Toc309994551"/>
      <w:bookmarkStart w:id="4" w:name="_Toc309995999"/>
      <w:bookmarkStart w:id="5" w:name="_Toc298938783"/>
      <w:bookmarkStart w:id="6" w:name="_Toc499110426"/>
      <w:bookmarkStart w:id="7" w:name="_Toc298937276"/>
      <w:bookmarkStart w:id="8" w:name="_Toc298937462"/>
      <w:bookmarkStart w:id="9" w:name="_Toc304825008"/>
      <w:bookmarkStart w:id="10" w:name="_Toc298937167"/>
      <w:bookmarkStart w:id="11" w:name="_Toc37234703"/>
      <w:bookmarkStart w:id="12" w:name="_Toc304825081"/>
      <w:bookmarkStart w:id="13" w:name="_Toc6138"/>
      <w:bookmarkStart w:id="14" w:name="_Toc298923383"/>
      <w:bookmarkStart w:id="15" w:name="_Toc310002637"/>
      <w:bookmarkStart w:id="16" w:name="_Toc309995578"/>
      <w:bookmarkStart w:id="17" w:name="_Toc298937609"/>
      <w:bookmarkStart w:id="18" w:name="_Toc309997040"/>
      <w:bookmarkStart w:id="19" w:name="_Toc298937322"/>
      <w:bookmarkStart w:id="20" w:name="_Toc298936801"/>
      <w:bookmarkStart w:id="21" w:name="_Toc298937419"/>
      <w:bookmarkStart w:id="22" w:name="_Toc304828066"/>
      <w:bookmarkStart w:id="23" w:name="_Toc309995472"/>
      <w:bookmarkStart w:id="24" w:name="_Toc304402664"/>
      <w:bookmarkStart w:id="25" w:name="_Toc298938635"/>
      <w:bookmarkStart w:id="26" w:name="_Toc298936924"/>
      <w:bookmarkStart w:id="27" w:name="_Toc298937201"/>
      <w:bookmarkStart w:id="28" w:name="_Toc309993180"/>
      <w:bookmarkStart w:id="29" w:name="_Toc309995390"/>
      <w:bookmarkStart w:id="30" w:name="_Toc298937188"/>
      <w:bookmarkStart w:id="31" w:name="_Toc298937152"/>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《光催化活性评价系统技术要求与性能评价》</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2026年4月15日，中国西部开发促进会发布《光催化活性评价系统技术要求与性能评价》团体标准立项通知,开展团体标准的编制工作。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BT1"/>
      <w:bookmarkEnd w:id="32"/>
      <w:bookmarkStart w:id="33" w:name="_Toc298937549"/>
      <w:bookmarkEnd w:id="33"/>
      <w:r>
        <w:rPr>
          <w:rFonts w:hint="eastAsia" w:ascii="仿宋" w:hAnsi="仿宋" w:eastAsia="仿宋" w:cs="仿宋"/>
          <w:b/>
          <w:bCs/>
          <w:color w:val="000000"/>
          <w:sz w:val="21"/>
          <w:szCs w:val="21"/>
          <w:lang w:val="en-US" w:eastAsia="zh-CN"/>
        </w:rPr>
        <w:t>1.目的</w:t>
      </w:r>
    </w:p>
    <w:p w14:paraId="3EE01C9B">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制定《光催化活性评价系统技术要求与性能评价》团体标准，旨在规范光催化活性评价系统的光源特性、反应器结构、检测单元、数据处理及性能评价等核心技术要求，明确光催化活性评价作业中的工艺规范、操作准则及质量控制标准，确保光催化活性评价过程合规可控、工艺标准、操作规范，从而保障评价结果的准确性、可重复性及可比性。通过建立统一的评价系统技术要求和性能评价规范，可提升光催化活性评价的规范化和标准化水平，提高光催化材料筛选、活性表征、性能比对的检测能力，降低因系统参数不统一、操作不规范带来的数据偏差、评价失准及研发误导等问题，减少评价过程中的重复试验和资源浪费，提升光催化研究领域整体评价效率与数据可信度。同时，本标准可为光催化材料研发机构、检测实验室、环保企业及高校科研团队提供统一的技术依据和操作指导，推动光催化活性评价技术体系的规范化建设，为光催化技术绿色高效应用提供坚实技术保障。</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0457E86C">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制定本标准具有重要的行业与技术意义。一方面，通过统一光催化活性评价系统的光源光谱、光强标定、反应器设计、温控条件、产物检测方法及数据处理规范等核心技术参数，可规范评价机构的作业流程和质量管理行为，提高光催化活性评价工作的科学性、可比性和规范性，降低因系统不一致、操作不标准引发的数据偏差及评价失真风险，保障光催化活性评价工作稳定有序开展。另一方面，标准的实施有助于完善光催化材料性能评价体系，推动光催化测试管理向规范化、制度化、标准化方向发展，提升光催化活性评价的作业效率，降低光催化材料研发与检测的综合成本。同时，本标准可为企业开展光催化产品性能优化、质量管控、技术升级及产业化服务提供权威技术依据，助力行业整体提升光催化活性评价的技术水平与检测能力。此外，本标准的制定将推动光催化活性评价技术的标准化发展，形成统一、高效、可推广的评价技术体系，提升我国光催化材料研发与检测领域的自主创新能力，增强相关企业在环保新材料、光催化应用领域的技术服务能力与市场核心竞争力。</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58D60C7A">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当前光催化活性评价领域，评价系统在光源参数、反应器结构、检测方法及性能评价方面仍存在标准不统一、操作流程不规范、评价结果可比性差等问题，亟需通过标准化手段加以统一和规范。一方面，光催化活性评价涉及光源系统、反应器设计、温控单元、产物检测、数据处理等多项关键环节，若缺乏统一技术规范，极易出现光源老化漂移、光强标定缺失、反应器设计差异、检测方法不一致等问题，导致不同实验室之间评价结果无法横向比较，严重影响光催化材料的筛选效率与研发进度。另一方面，不同评价机构在光源类型选择、光强标定方法、反应器结构设计、产物检测手段、数据分析处理等方面存在较大差异，缺乏统一、可落地、可推广的技术规范，严重制约光催化活性评价方法的标准化推广和产业化规范化发展，不利于光催化技术研发效率与成果转化率的整体提升。同时，随着光催化技术在环境治理、能源转化、抗菌消毒等领域的快速发展，国家及行业对光催化材料性能评价的准确性、可比性和可靠性提出了更高标准和更严要求，因此制定统一的光催化活性评价系统技术要求与性能评价标准，已成为光催化行业高质量发展的迫切需求。</w:t>
      </w:r>
    </w:p>
    <w:p w14:paraId="5FA39D3B">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综上，制定《光催化活性评价系统技术要求与性能评价》团体标准，将有助于统一光催化活性评价系统的技术要求、操作规范和质控标准，提高光催化活性评价工作的规范性、数据可信度及可比性，推动光催化活性评价技术产业化、标准化发展。</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XXXX</w:t>
      </w:r>
      <w:r>
        <w:rPr>
          <w:rFonts w:hint="eastAsia" w:ascii="仿宋" w:hAnsi="仿宋" w:eastAsia="仿宋" w:cs="仿宋"/>
          <w:sz w:val="21"/>
          <w:szCs w:val="21"/>
        </w:rPr>
        <w:t>有限公司</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本文件主要工作成员及工作职责见表1。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 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0"/>
        <w:gridCol w:w="5218"/>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default"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XXXX</w:t>
            </w:r>
            <w:r>
              <w:rPr>
                <w:rFonts w:hint="eastAsia" w:ascii="仿宋" w:hAnsi="仿宋" w:eastAsia="仿宋" w:cs="仿宋"/>
                <w:sz w:val="21"/>
                <w:szCs w:val="21"/>
              </w:rPr>
              <w:t>有限公司</w:t>
            </w:r>
            <w:r>
              <w:rPr>
                <w:rFonts w:hint="eastAsia" w:ascii="仿宋" w:hAnsi="仿宋" w:eastAsia="仿宋" w:cs="仿宋"/>
                <w:sz w:val="21"/>
                <w:szCs w:val="21"/>
                <w:lang w:val="en-US" w:eastAsia="zh-CN"/>
              </w:rPr>
              <w:t>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 1.1—2020《标准化工作导则 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 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根据项目要求，于2026年4月组织开展起草工作，成立《光催化活性评价系统技术要求与性能评价》团体标准起草小组。</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 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2026年4月15日团体标准正式立项</w:t>
      </w:r>
      <w:r>
        <w:rPr>
          <w:rFonts w:hint="eastAsia" w:ascii="仿宋" w:hAnsi="仿宋" w:eastAsia="仿宋" w:cs="仿宋"/>
          <w:sz w:val="21"/>
          <w:szCs w:val="21"/>
        </w:rPr>
        <w:t>。</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 xml:space="preserve">5.3 </w:t>
      </w:r>
      <w:r>
        <w:rPr>
          <w:rFonts w:hint="eastAsia" w:ascii="仿宋" w:hAnsi="仿宋" w:eastAsia="仿宋" w:cs="仿宋"/>
          <w:sz w:val="21"/>
          <w:szCs w:val="21"/>
        </w:rPr>
        <w:t>形成标准草案</w:t>
      </w:r>
    </w:p>
    <w:p w14:paraId="2F37BD3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起草小组在资料分析和企业调研的基础上，确定《光催化活性评价系统技术要求与性能评价》的技术规范框架，并参考现有光催化活性评价技术、不同光源条件下的测试方法及多场景应用中的评价技术要点，明确标准的主要技术内容，于2026年5月完成标准草案的编写。</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 试验验证分析</w:t>
      </w:r>
    </w:p>
    <w:p w14:paraId="033A3E5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为确保本标准技术要求的科学性和可操作性，起草小组结合光催化研究机构、检测实验室及高校科研团队开展了相关试验验证与案例分析。验证内容主要包括光催化活性评价系统中的光源性能稳定性、反应器结构合理性、检测单元准确性、数据处理可靠性以及典型光催化材料评价流程等。通过对不同光催化材料（如TiO₂、g-C₃N₄、BiVO₄等）在不同评价系统下的活性测试及对比分析，评估评价系统在实际应用场景中的适用性和稳定性，并对光源标定、反应条件控制、产物检测及数据分析流程进行验证。结果表明，本标准提出的光催化活性评价系统技术要求和性能评价方法具有良好的可操作性，能够有效提升光催化活性评价的准确性与可重复性，规范评价作业流程，为光催化材料性能标准化评价提供技术支撑，也为标准的科学制定提供了可靠依据。</w:t>
      </w:r>
    </w:p>
    <w:p w14:paraId="0CCF6F6F">
      <w:pPr>
        <w:pStyle w:val="30"/>
        <w:keepNext w:val="0"/>
        <w:keepLines w:val="0"/>
        <w:pageBreakBefore w:val="0"/>
        <w:widowControl/>
        <w:numPr>
          <w:ilvl w:val="0"/>
          <w:numId w:val="15"/>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综述报告</w:t>
      </w:r>
    </w:p>
    <w:p w14:paraId="53AEDBB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当前我国光催化产业规模持续扩大，光催化技术在环境治理、能源转化、抗菌消毒等领域的应用日益广泛，光催化材料性能评价的标准化需求日益受到关注。光催化活性评价系统涉及光源系统、反应器设计、温控单元、产物检测、数据处理等关键环节，一旦系统参数不当或操作不规范，可能引发光源漂移、光强标定缺失、反应器设计差异、检测方法不一致等问题，导致评价结果失真、数据不可比。然而，在实际光催化活性评价中，不同评价机构在光源类型选择、光强标定方法、反应器结构设计、产物检测手段、数据分析处理等方面缺乏统一规范，评价技术水平与数据质量差异较大。一是部分评价作业缺乏统一的操作流程和系统管控要求；二是对光催化活性评价系统的标定方法、性能验证及数据处理缺乏统一技术指导；三是现有技术研究多侧重新型光催化材料研发与实验室效果验证，对评价系统的标准化、规范化及数据可比性关注不足。随着光催化技术产业化进程加速，制定统一的光催化活性评价系统技术要求与性能评价标准已具有明显的行业需求。</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 技术经济论证</w:t>
      </w:r>
    </w:p>
    <w:p w14:paraId="4A2BBC49">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技术层面，本标准通过统一光催化活性评价系统的光源参数、反应器结构、检测方法、数据处理及性能评价规范，可有效提高光催化活性评价工作的科学性、可比性和规范性，降低因系统不一致、操作不标准引发的数据偏差与评价失真风险。在经济层面，通过规范评价系统技术要求和性能评价流程，可减少因系统参数不统一导致的重复试验、资源浪费及研发误导成本，降低光催化材料研发与检测的综合成本，提升光催化研究领域的整体评价效率与数据可信度。同时，标准可为企业建立规范化的光催化材料性能评价体系提供技术依据，推动光催化活性评价技术产业化、标准化水平提升，形成“规范评价—数据可信—研发增效—产业增值”的良性发展模式，技术可行性和经济合理性均得到充分论证。</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 预期的经济效益</w:t>
      </w:r>
    </w:p>
    <w:p w14:paraId="507E346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标准实施后，可通过规范光催化活性评价系统的技术要求和性能评价方法，提高评价工作的规范性与数据可信度，减少因系统参数不统一、操作不规范导致的重复试验、资源浪费及研发成本。同时，标准化的评价体系可有效提升光催化材料筛选、活性表征、性能比对的作业效率，降低光催化材料研发与检测的生产与管理成本，提升光催化研究领域的技术服务价值。标准的推广应用还将促进光催化活性评价标准化技术和检测服务体系的发展，提高相关企业在光催化材料研发、环保技术应用领域的技术能力与市场竞争力，推动光催化产业链规范化、高品质升级发展。</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 社会效益和生态效益</w:t>
      </w:r>
    </w:p>
    <w:p w14:paraId="0983941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标准的制定与实施将产生显著的社会效益和生态效益。一方面，通过规范光催化活性评价系统的技术要求和性能评价方法，提升光催化材料性能评价的准确性与可比性，保障光催化技术研发与应用的科学性，促进光催化技术在环境治理、能源转化、抗菌消毒等领域的规范化推广。另一方面，通过完善光催化材料性能评价体系，可加速高效光催化材料的筛选与产业化应用，推动光催化技术在污染物降解、水处理、空气净化等环保领域的应用发展，减少化学试剂消耗与二次污染，促进绿色低碳技术发展，实现经济效益、社会效益与生态效益的协同提升。</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47D0C67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通过对比分析国内外光催化活性评价、光催化材料测试相关标准发现，国外标准多侧重光催化材料基础性能测试、光催化反应基础原理评价、光催化环境应用通用要求及材料环保管控等方面，对光催化量子效率、光响应范围、反应动力学等基础指标提出了较为系统的技术要求，但在光催化活性评价系统的光源光谱特性、光强标定方法、反应器结构规范、温控条件、产物检测标准化及数据处理规范化等细分环节的操作规范与技术细则相对较少，更偏向宏观性、通用性的评价管理要求。国内现有相关标准主要集中在光催化材料基础性能测试、光催化抗菌性能评价、光催化自清洁性能评价等方面，针对光催化活性评价系统这一核心检测装备的专项技术规范、系统参数管控、标定方法及数据处理等系统化技术内容仍相对不足，缺乏适配工业化批量检测与科研比对需求的专项可执行标准指导。本标准在参考国内外相关技术内容的基础上，结合我国光催化材料品类特点、检测产业发展现状及科研生产需求，对光催化活性评价系统的光源要求、反应器规范、检测单元标准、数据处理方法及性能评价流程进行了统一细化规范，在一定程度上弥补了现有标准在光催化活性评价系统精细化、标准化技术规范方面的不足。</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64E3C2A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24884219"/>
      <w:bookmarkStart w:id="36" w:name="_Toc17233326"/>
      <w:bookmarkStart w:id="37" w:name="_Toc26648466"/>
      <w:bookmarkStart w:id="38" w:name="_Toc24884212"/>
      <w:bookmarkStart w:id="39" w:name="_Toc17233334"/>
      <w:r>
        <w:rPr>
          <w:rFonts w:hint="eastAsia" w:ascii="仿宋" w:hAnsi="仿宋" w:eastAsia="仿宋" w:cs="仿宋"/>
          <w:sz w:val="21"/>
          <w:szCs w:val="21"/>
          <w:lang w:val="en-US" w:eastAsia="zh-CN"/>
        </w:rPr>
        <w:t>本文件规定了光催化活性评价系统（以下简称“系统”）的技术要求、性能评价指标、试验方法、取值规则及评价结果。</w:t>
      </w:r>
    </w:p>
    <w:p w14:paraId="6291ED1A">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本文件适用于以紫外光、模拟太阳光、室内可见光为激发光源，用于固态、粉体、薄膜、涂层等各类光催化材料的液相、气相光催化活性检测与性能评价的成套测试系统。</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113282591"/>
      <w:bookmarkStart w:id="41" w:name="_Toc26718931"/>
      <w:bookmarkStart w:id="42" w:name="_Toc26986772"/>
      <w:bookmarkStart w:id="43" w:name="_Toc97192965"/>
      <w:bookmarkStart w:id="44" w:name="_Toc26986531"/>
      <w:bookmarkStart w:id="45" w:name="_Toc11915"/>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14CAE46E">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23761  光催化材料及制品空气净化性能测试方法 乙醛（或甲醛）的降解</w:t>
      </w:r>
    </w:p>
    <w:p w14:paraId="7ABD5195">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GB/T 23762  光催化材料水溶液净化性能测试方法</w:t>
      </w:r>
    </w:p>
    <w:p w14:paraId="1452F549">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JJF 1059.1  测量不确定度评定与表示</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2484"/>
      <w:bookmarkStart w:id="47" w:name="_Toc113282592"/>
      <w:bookmarkStart w:id="48" w:name="_Toc97192966"/>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明确了光催化活性评价系统的术语定义。</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w:t>
      </w:r>
      <w:bookmarkEnd w:id="50"/>
      <w:r>
        <w:rPr>
          <w:rFonts w:hint="eastAsia" w:ascii="仿宋" w:hAnsi="仿宋" w:eastAsia="仿宋" w:cs="仿宋"/>
          <w:b/>
          <w:bCs/>
          <w:sz w:val="21"/>
          <w:szCs w:val="21"/>
          <w:lang w:val="en-US" w:eastAsia="zh-CN"/>
        </w:rPr>
        <w:t>技术要求</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包括了光催化活性评价系统的技术要求。</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性能评价指标</w:t>
      </w:r>
    </w:p>
    <w:p w14:paraId="2BBBA2EE">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明确了光催化活性评价系统的性能评价指标。</w:t>
      </w:r>
    </w:p>
    <w:p w14:paraId="7A5D7861">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2" w:name="_Toc32215"/>
      <w:r>
        <w:rPr>
          <w:rFonts w:hint="eastAsia" w:ascii="仿宋" w:hAnsi="仿宋" w:eastAsia="仿宋" w:cs="仿宋"/>
          <w:b/>
          <w:bCs/>
          <w:sz w:val="21"/>
          <w:szCs w:val="21"/>
          <w:lang w:val="en-US" w:eastAsia="zh-CN"/>
        </w:rPr>
        <w:t>6 试验方法</w:t>
      </w:r>
    </w:p>
    <w:p w14:paraId="52C4229C">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bookmarkStart w:id="53" w:name="_GoBack"/>
      <w:bookmarkEnd w:id="53"/>
      <w:r>
        <w:rPr>
          <w:rFonts w:hint="eastAsia" w:ascii="仿宋" w:hAnsi="仿宋" w:eastAsia="仿宋" w:cs="仿宋"/>
          <w:sz w:val="21"/>
          <w:szCs w:val="21"/>
          <w:lang w:val="en-US" w:eastAsia="zh-CN" w:bidi="ar-SA"/>
        </w:rPr>
        <w:t>明确了性能评价指标的试验方法。</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7.</w:t>
      </w:r>
      <w:bookmarkEnd w:id="52"/>
      <w:r>
        <w:rPr>
          <w:rFonts w:hint="eastAsia" w:ascii="仿宋" w:hAnsi="仿宋" w:eastAsia="仿宋" w:cs="仿宋"/>
          <w:b/>
          <w:bCs/>
          <w:sz w:val="21"/>
          <w:szCs w:val="21"/>
          <w:lang w:val="en-US" w:eastAsia="zh-CN"/>
        </w:rPr>
        <w:t>取值规则</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明确了取值规则。</w:t>
      </w:r>
    </w:p>
    <w:p w14:paraId="159CEE31">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8.评价结果</w:t>
      </w:r>
    </w:p>
    <w:p w14:paraId="15565CDE">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明确了评价结果判定规则。</w:t>
      </w:r>
    </w:p>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2026年5月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B6A9639"/>
    <w:multiLevelType w:val="singleLevel"/>
    <w:tmpl w:val="6B6A9639"/>
    <w:lvl w:ilvl="0" w:tentative="0">
      <w:start w:val="2"/>
      <w:numFmt w:val="decimal"/>
      <w:suff w:val="space"/>
      <w:lvlText w:val="%1."/>
      <w:lvlJc w:val="left"/>
    </w:lvl>
  </w:abstractNum>
  <w:abstractNum w:abstractNumId="1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4"/>
  </w:num>
  <w:num w:numId="5">
    <w:abstractNumId w:val="2"/>
  </w:num>
  <w:num w:numId="6">
    <w:abstractNumId w:val="9"/>
  </w:num>
  <w:num w:numId="7">
    <w:abstractNumId w:val="0"/>
  </w:num>
  <w:num w:numId="8">
    <w:abstractNumId w:val="3"/>
  </w:num>
  <w:num w:numId="9">
    <w:abstractNumId w:val="5"/>
  </w:num>
  <w:num w:numId="10">
    <w:abstractNumId w:val="13"/>
  </w:num>
  <w:num w:numId="11">
    <w:abstractNumId w:val="7"/>
  </w:num>
  <w:num w:numId="12">
    <w:abstractNumId w:val="10"/>
  </w:num>
  <w:num w:numId="13">
    <w:abstractNumId w:val="6"/>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464FA1"/>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E9737B"/>
    <w:rsid w:val="08F63AE4"/>
    <w:rsid w:val="094B2BCC"/>
    <w:rsid w:val="095E6352"/>
    <w:rsid w:val="09D01CF6"/>
    <w:rsid w:val="09F31EAA"/>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4C29E0"/>
    <w:rsid w:val="139B5716"/>
    <w:rsid w:val="1436325E"/>
    <w:rsid w:val="148D41AD"/>
    <w:rsid w:val="14CF174C"/>
    <w:rsid w:val="153C0D7C"/>
    <w:rsid w:val="15483208"/>
    <w:rsid w:val="15505DDD"/>
    <w:rsid w:val="158D7AE3"/>
    <w:rsid w:val="159B1B8F"/>
    <w:rsid w:val="16F84A8E"/>
    <w:rsid w:val="173B6C95"/>
    <w:rsid w:val="178D48F7"/>
    <w:rsid w:val="196E7664"/>
    <w:rsid w:val="19D4303C"/>
    <w:rsid w:val="19E771E8"/>
    <w:rsid w:val="1A6A4539"/>
    <w:rsid w:val="1B063DBD"/>
    <w:rsid w:val="1B740D26"/>
    <w:rsid w:val="1C994529"/>
    <w:rsid w:val="1D297145"/>
    <w:rsid w:val="1DE21613"/>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135A1"/>
    <w:rsid w:val="23FE39BD"/>
    <w:rsid w:val="245F4818"/>
    <w:rsid w:val="24786C81"/>
    <w:rsid w:val="255D282B"/>
    <w:rsid w:val="256A59C8"/>
    <w:rsid w:val="267E4497"/>
    <w:rsid w:val="268E3C87"/>
    <w:rsid w:val="26A72101"/>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0106CB"/>
    <w:rsid w:val="2F4635EA"/>
    <w:rsid w:val="2FC906F5"/>
    <w:rsid w:val="2FD87AD3"/>
    <w:rsid w:val="30CA5BDB"/>
    <w:rsid w:val="30E86825"/>
    <w:rsid w:val="311961A0"/>
    <w:rsid w:val="326655EE"/>
    <w:rsid w:val="327B69E7"/>
    <w:rsid w:val="33C34EFC"/>
    <w:rsid w:val="34366F6E"/>
    <w:rsid w:val="344F3C87"/>
    <w:rsid w:val="349415D2"/>
    <w:rsid w:val="35AB7232"/>
    <w:rsid w:val="35D61655"/>
    <w:rsid w:val="361A2073"/>
    <w:rsid w:val="362A1092"/>
    <w:rsid w:val="36461B5D"/>
    <w:rsid w:val="3690287C"/>
    <w:rsid w:val="36AD56C5"/>
    <w:rsid w:val="36DC5408"/>
    <w:rsid w:val="376B4D89"/>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E8310FD"/>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06551"/>
    <w:rsid w:val="55281DAF"/>
    <w:rsid w:val="55FD7055"/>
    <w:rsid w:val="56014794"/>
    <w:rsid w:val="568B0C91"/>
    <w:rsid w:val="56C500AD"/>
    <w:rsid w:val="56DC7EC7"/>
    <w:rsid w:val="570975B4"/>
    <w:rsid w:val="571818A3"/>
    <w:rsid w:val="576222A2"/>
    <w:rsid w:val="578F7888"/>
    <w:rsid w:val="57EE097D"/>
    <w:rsid w:val="583166A5"/>
    <w:rsid w:val="58B60ACC"/>
    <w:rsid w:val="58D05DE7"/>
    <w:rsid w:val="58EB1921"/>
    <w:rsid w:val="592316E9"/>
    <w:rsid w:val="59E0617E"/>
    <w:rsid w:val="59FE7432"/>
    <w:rsid w:val="5A790E13"/>
    <w:rsid w:val="5A9329EF"/>
    <w:rsid w:val="5B076365"/>
    <w:rsid w:val="5BD72D72"/>
    <w:rsid w:val="5C10118B"/>
    <w:rsid w:val="5C2A169D"/>
    <w:rsid w:val="5C495A77"/>
    <w:rsid w:val="5CA05EB7"/>
    <w:rsid w:val="5DD13F05"/>
    <w:rsid w:val="5E381B59"/>
    <w:rsid w:val="5E6C7D00"/>
    <w:rsid w:val="5EBE1A6C"/>
    <w:rsid w:val="5F8D65FE"/>
    <w:rsid w:val="5FC36A67"/>
    <w:rsid w:val="5FF64B64"/>
    <w:rsid w:val="61526439"/>
    <w:rsid w:val="615A7643"/>
    <w:rsid w:val="61846885"/>
    <w:rsid w:val="61F4714D"/>
    <w:rsid w:val="6298186E"/>
    <w:rsid w:val="62D559AF"/>
    <w:rsid w:val="63136946"/>
    <w:rsid w:val="634E0BFD"/>
    <w:rsid w:val="639C78BD"/>
    <w:rsid w:val="645D37AF"/>
    <w:rsid w:val="64BE00A4"/>
    <w:rsid w:val="64CE3BD1"/>
    <w:rsid w:val="65144950"/>
    <w:rsid w:val="65422D4F"/>
    <w:rsid w:val="656C6332"/>
    <w:rsid w:val="65705C03"/>
    <w:rsid w:val="65B86EE6"/>
    <w:rsid w:val="66C85109"/>
    <w:rsid w:val="66E11A66"/>
    <w:rsid w:val="67AE2497"/>
    <w:rsid w:val="67C41CBB"/>
    <w:rsid w:val="681A56C2"/>
    <w:rsid w:val="684318AA"/>
    <w:rsid w:val="6A516F28"/>
    <w:rsid w:val="6A802926"/>
    <w:rsid w:val="6A88563D"/>
    <w:rsid w:val="6AB9187F"/>
    <w:rsid w:val="6AF13796"/>
    <w:rsid w:val="6B965E5B"/>
    <w:rsid w:val="6C33740F"/>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49C18DF"/>
    <w:rsid w:val="7524023C"/>
    <w:rsid w:val="75605DEF"/>
    <w:rsid w:val="75F705EE"/>
    <w:rsid w:val="76276979"/>
    <w:rsid w:val="76706BC2"/>
    <w:rsid w:val="767173B7"/>
    <w:rsid w:val="76A154AD"/>
    <w:rsid w:val="76A74C81"/>
    <w:rsid w:val="76AC5DF9"/>
    <w:rsid w:val="76DD695E"/>
    <w:rsid w:val="77DC6BAC"/>
    <w:rsid w:val="77F17B85"/>
    <w:rsid w:val="78202F3D"/>
    <w:rsid w:val="784813C5"/>
    <w:rsid w:val="786C45B6"/>
    <w:rsid w:val="78A07E1A"/>
    <w:rsid w:val="78AB3FAF"/>
    <w:rsid w:val="790F4618"/>
    <w:rsid w:val="795456E5"/>
    <w:rsid w:val="79C25BC5"/>
    <w:rsid w:val="79DF5F38"/>
    <w:rsid w:val="7A86111E"/>
    <w:rsid w:val="7B223D6B"/>
    <w:rsid w:val="7C260CFC"/>
    <w:rsid w:val="7C413482"/>
    <w:rsid w:val="7C4B4301"/>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4912</Words>
  <Characters>5076</Characters>
  <Lines>17</Lines>
  <Paragraphs>4</Paragraphs>
  <TotalTime>4</TotalTime>
  <ScaleCrop>false</ScaleCrop>
  <LinksUpToDate>false</LinksUpToDate>
  <CharactersWithSpaces>5144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2026-05-13T03:46:46Z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708CBA9BF7D44C1691252531B23B4065_13</vt:lpwstr>
  </property>
  <property fmtid="{D5CDD505-2E9C-101B-9397-08002B2CF9AE}" pid="4" name="KSOTemplateDocerSaveRecord">
    <vt:lpwstr>eyJoZGlkIjoiZjg4ZGUzMmU5ZDk0M2FjMzAzOTBhZmQxMjNkNTk0NTYiLCJ1c2VySWQiOiI0MDgwOTI1NzcifQ==</vt:lpwstr>
  </property>
</Properties>
</file>