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rPr>
          <w:rFonts w:hint="eastAsia" w:ascii="仿宋" w:hAnsi="仿宋" w:eastAsia="仿宋" w:cs="仿宋"/>
          <w:b/>
          <w:bCs/>
          <w:sz w:val="32"/>
          <w:szCs w:val="32"/>
        </w:rPr>
      </w:pPr>
      <w:bookmarkStart w:id="0" w:name="_Toc304824969"/>
      <w:bookmarkStart w:id="1" w:name="_Toc309994551"/>
      <w:bookmarkStart w:id="2" w:name="_Toc298937201"/>
      <w:bookmarkStart w:id="3" w:name="_Toc304825008"/>
      <w:bookmarkStart w:id="4" w:name="_Toc298938783"/>
      <w:bookmarkStart w:id="5" w:name="_Toc309993180"/>
      <w:bookmarkStart w:id="6" w:name="_Toc309995999"/>
      <w:bookmarkStart w:id="7" w:name="_Toc304402664"/>
      <w:bookmarkStart w:id="8" w:name="_Toc499110426"/>
      <w:bookmarkStart w:id="9" w:name="_Toc298937167"/>
      <w:bookmarkStart w:id="10" w:name="_Toc298937322"/>
      <w:bookmarkStart w:id="11" w:name="_Toc304825081"/>
      <w:bookmarkStart w:id="12" w:name="_Toc298937100"/>
      <w:bookmarkStart w:id="13" w:name="_Toc298937188"/>
      <w:bookmarkStart w:id="14" w:name="_Toc310002637"/>
      <w:bookmarkStart w:id="15" w:name="_Toc298936801"/>
      <w:bookmarkStart w:id="16" w:name="_Toc298937419"/>
      <w:bookmarkStart w:id="17" w:name="_Toc298937357"/>
      <w:bookmarkStart w:id="18" w:name="_Toc6138"/>
      <w:bookmarkStart w:id="19" w:name="_Toc298936924"/>
      <w:bookmarkStart w:id="20" w:name="_Toc309995390"/>
      <w:bookmarkStart w:id="21" w:name="_Toc309995472"/>
      <w:bookmarkStart w:id="22" w:name="_Toc37234703"/>
      <w:bookmarkStart w:id="23" w:name="_Toc309997040"/>
      <w:bookmarkStart w:id="24" w:name="_Toc298923383"/>
      <w:bookmarkStart w:id="25" w:name="_Toc309995578"/>
      <w:bookmarkStart w:id="26" w:name="_Toc298937609"/>
      <w:bookmarkStart w:id="27" w:name="_Toc298938635"/>
      <w:bookmarkStart w:id="28" w:name="_Toc298937276"/>
      <w:bookmarkStart w:id="29" w:name="_Toc304828066"/>
      <w:bookmarkStart w:id="30" w:name="_Toc298937462"/>
      <w:bookmarkStart w:id="31" w:name="_Toc298937152"/>
    </w:p>
    <w:p w14:paraId="4021AC6F">
      <w:pPr>
        <w:pStyle w:val="143"/>
        <w:numPr>
          <w:ilvl w:val="0"/>
          <w:numId w:val="0"/>
        </w:numPr>
        <w:spacing w:before="312" w:after="312"/>
        <w:jc w:val="center"/>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风电并网系统容错运行与电能质量耦合控制规范</w:t>
      </w:r>
      <w:r>
        <w:rPr>
          <w:rFonts w:hint="eastAsia" w:ascii="仿宋" w:hAnsi="仿宋" w:eastAsia="仿宋" w:cs="仿宋"/>
          <w:b/>
          <w:bCs/>
          <w:sz w:val="32"/>
          <w:szCs w:val="32"/>
        </w:rPr>
        <w:t>》</w:t>
      </w:r>
    </w:p>
    <w:p w14:paraId="705BFDC1">
      <w:pPr>
        <w:pStyle w:val="143"/>
        <w:numPr>
          <w:ilvl w:val="0"/>
          <w:numId w:val="0"/>
        </w:numPr>
        <w:spacing w:before="312" w:after="312"/>
        <w:jc w:val="center"/>
        <w:rPr>
          <w:rFonts w:hint="eastAsia" w:ascii="仿宋" w:hAnsi="仿宋" w:eastAsia="仿宋" w:cs="仿宋"/>
          <w:b/>
          <w:bCs/>
          <w:sz w:val="32"/>
          <w:szCs w:val="32"/>
        </w:rPr>
      </w:pP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Cs w:val="21"/>
        </w:rPr>
      </w:pPr>
      <w:r>
        <w:rPr>
          <w:rFonts w:hint="eastAsia" w:ascii="仿宋" w:hAnsi="仿宋" w:eastAsia="仿宋" w:cs="仿宋"/>
          <w:b/>
          <w:bCs/>
          <w:color w:val="000000"/>
          <w:szCs w:val="21"/>
        </w:rPr>
        <w:t>一</w:t>
      </w:r>
      <w:r>
        <w:rPr>
          <w:rFonts w:hint="eastAsia" w:ascii="仿宋" w:hAnsi="仿宋" w:eastAsia="仿宋" w:cs="仿宋"/>
          <w:b/>
          <w:bCs/>
          <w:szCs w:val="21"/>
        </w:rPr>
        <w:t>、任务来源</w:t>
      </w:r>
    </w:p>
    <w:p w14:paraId="2BD45F79">
      <w:pPr>
        <w:widowControl/>
        <w:ind w:firstLine="420" w:firstLineChars="200"/>
        <w:jc w:val="left"/>
        <w:rPr>
          <w:rFonts w:hint="eastAsia" w:ascii="仿宋" w:hAnsi="仿宋" w:eastAsia="仿宋" w:cs="仿宋"/>
          <w:b/>
          <w:bCs/>
          <w:color w:val="000000"/>
          <w:szCs w:val="21"/>
        </w:rPr>
      </w:pPr>
      <w:r>
        <w:rPr>
          <w:rFonts w:hint="eastAsia" w:ascii="仿宋" w:hAnsi="仿宋" w:eastAsia="仿宋" w:cs="仿宋"/>
          <w:szCs w:val="21"/>
        </w:rPr>
        <w:t>202</w:t>
      </w:r>
      <w:r>
        <w:rPr>
          <w:rFonts w:hint="eastAsia" w:ascii="仿宋" w:hAnsi="仿宋" w:eastAsia="仿宋" w:cs="仿宋"/>
          <w:szCs w:val="21"/>
          <w:lang w:val="en-US" w:eastAsia="zh-CN"/>
        </w:rPr>
        <w:t>6</w:t>
      </w:r>
      <w:r>
        <w:rPr>
          <w:rFonts w:hint="eastAsia" w:ascii="仿宋" w:hAnsi="仿宋" w:eastAsia="仿宋" w:cs="仿宋"/>
          <w:szCs w:val="21"/>
        </w:rPr>
        <w:t>年</w:t>
      </w:r>
      <w:r>
        <w:rPr>
          <w:rFonts w:hint="eastAsia" w:ascii="仿宋" w:hAnsi="仿宋" w:eastAsia="仿宋" w:cs="仿宋"/>
          <w:szCs w:val="21"/>
          <w:lang w:val="en-US" w:eastAsia="zh-CN"/>
        </w:rPr>
        <w:t>5</w:t>
      </w:r>
      <w:r>
        <w:rPr>
          <w:rFonts w:hint="eastAsia" w:ascii="仿宋" w:hAnsi="仿宋" w:eastAsia="仿宋" w:cs="仿宋"/>
          <w:szCs w:val="21"/>
        </w:rPr>
        <w:t>月，中国西部开发促进会发布《</w:t>
      </w:r>
      <w:r>
        <w:rPr>
          <w:rFonts w:hint="eastAsia" w:ascii="仿宋" w:hAnsi="仿宋" w:eastAsia="仿宋" w:cs="仿宋"/>
          <w:szCs w:val="21"/>
          <w:lang w:eastAsia="zh-CN"/>
        </w:rPr>
        <w:t>风电并网系统容错运行与电能质量耦合控制规范</w:t>
      </w:r>
      <w:r>
        <w:rPr>
          <w:rFonts w:hint="eastAsia" w:ascii="仿宋" w:hAnsi="仿宋" w:eastAsia="仿宋" w:cs="仿宋"/>
          <w:szCs w:val="21"/>
        </w:rPr>
        <w:t>》团体标准立项通知,开展团体标准的编制工作。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Cs w:val="21"/>
        </w:rPr>
        <w:t>二</w:t>
      </w:r>
      <w:r>
        <w:rPr>
          <w:rFonts w:hint="eastAsia" w:ascii="仿宋" w:hAnsi="仿宋" w:eastAsia="仿宋" w:cs="仿宋"/>
          <w:b/>
          <w:bCs/>
          <w:szCs w:val="21"/>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firstLine="0" w:firstLineChars="0"/>
        <w:rPr>
          <w:rFonts w:hint="eastAsia" w:ascii="仿宋" w:hAnsi="仿宋" w:eastAsia="仿宋" w:cs="仿宋"/>
          <w:b/>
          <w:bCs/>
          <w:color w:val="000000"/>
          <w:szCs w:val="21"/>
        </w:rPr>
      </w:pPr>
      <w:bookmarkStart w:id="32" w:name="BT1"/>
      <w:bookmarkEnd w:id="32"/>
      <w:bookmarkStart w:id="33" w:name="_Toc298937549"/>
      <w:bookmarkEnd w:id="33"/>
      <w:r>
        <w:rPr>
          <w:rFonts w:hint="eastAsia" w:ascii="仿宋" w:hAnsi="仿宋" w:eastAsia="仿宋" w:cs="仿宋"/>
          <w:b/>
          <w:bCs/>
          <w:color w:val="000000"/>
          <w:szCs w:val="21"/>
        </w:rPr>
        <w:t>1.目的</w:t>
      </w:r>
    </w:p>
    <w:p w14:paraId="0E58F26E">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本标准编写旨在规范风电并网系统容错运行与电能质量耦合控制的全流程技术要求，明确容错运行能力、电能质量控制指标、耦合控制策略、控制参数整定、试验验证方法及运行维护管理等关键环节的统一技术准则，为风电场设计、设备选型、运行调试、性能检测及运维管理提供科学依据，保障风电并网系统在故障工况下的安全稳定运行，提升电能质量水平，推动风电高比例并网与新能源高质量发展。</w:t>
      </w:r>
    </w:p>
    <w:p w14:paraId="38381B68">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2.意义</w:t>
      </w:r>
    </w:p>
    <w:p w14:paraId="1C3D9695">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本标准的制定与实施，有助于提升风电并网系统在电网故障、设备异常、扰动工况下的容错运行能力，降低脱网风险与设备损坏概率，同时改善谐波、电压波动、三相不平衡等电能质量问题；能够促进故障穿越、无功补偿、谐波治理、协同控制等先进技术的系统集成与应用，提高风电消纳能力、降低运维成本、延长设备寿命；同时可为行业提供统一的技术遵循，填补风电并网系统容错与电能质量耦合控制标准的空白，为我国新能源电力系统安全稳定运行提供技术支撑。</w:t>
      </w:r>
    </w:p>
    <w:p w14:paraId="1A6555C0">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3.必要性</w:t>
      </w:r>
    </w:p>
    <w:p w14:paraId="5B46E227">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当前，我国风电装机容量持续高速增长，风能随机性与电力电子设备广泛应用导致风电并网系统面临容错能力不足、电能质量问题突出、多变量强耦合三大核心挑战。现有标准多侧重单一故障穿越（如低电压穿越）或独立电能质量治理，未形成容错运行与电能质量控制的耦合规范，导致控制策略不协同、参数不匹配、治理效果不佳，严重影响风电高比例并网的安全性与经济性。</w:t>
      </w:r>
    </w:p>
    <w:p w14:paraId="3FE7694B">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随着“双碳”目标推进和新型电力系统建设，风电并网系统对故障容错能力与电能质量水平的要求日益提高。制定本标准可填补国内风电并网系统容错运行与电能质量耦合控制专项标准的空白，解决当前工程实践中容错控制与电能质量控制相互冲突、耦合协调无据可依、试验验证方法不统一等问题，满足风电行业对标准化、精细化、智能化控制的要求，保障风电大规模消纳与电网安全稳定运行。</w:t>
      </w:r>
      <w:r>
        <w:rPr>
          <w:rFonts w:hint="eastAsia" w:ascii="仿宋" w:hAnsi="仿宋" w:eastAsia="仿宋" w:cs="仿宋"/>
          <w:szCs w:val="21"/>
        </w:rPr>
        <w:t>。</w:t>
      </w:r>
    </w:p>
    <w:p w14:paraId="62348F23">
      <w:pPr>
        <w:pStyle w:val="143"/>
        <w:numPr>
          <w:ilvl w:val="0"/>
          <w:numId w:val="0"/>
        </w:numPr>
        <w:spacing w:before="312" w:after="312"/>
        <w:rPr>
          <w:rFonts w:hint="eastAsia" w:ascii="仿宋" w:hAnsi="仿宋" w:eastAsia="仿宋" w:cs="仿宋"/>
          <w:b/>
          <w:bCs/>
          <w:color w:val="000000"/>
          <w:szCs w:val="21"/>
        </w:rPr>
      </w:pPr>
      <w:r>
        <w:rPr>
          <w:rFonts w:hint="eastAsia" w:ascii="仿宋" w:hAnsi="仿宋" w:eastAsia="仿宋" w:cs="仿宋"/>
          <w:b/>
          <w:bCs/>
          <w:color w:val="000000"/>
          <w:szCs w:val="21"/>
        </w:rPr>
        <w:t>三、起草单位和主要工作成员及其所作工作</w:t>
      </w:r>
    </w:p>
    <w:p w14:paraId="12D61796">
      <w:pPr>
        <w:pStyle w:val="30"/>
        <w:ind w:firstLine="0" w:firstLineChars="0"/>
        <w:rPr>
          <w:rFonts w:eastAsia="仿宋"/>
          <w:szCs w:val="21"/>
        </w:rPr>
      </w:pPr>
      <w:r>
        <w:rPr>
          <w:rFonts w:hint="eastAsia" w:ascii="仿宋" w:hAnsi="仿宋" w:eastAsia="仿宋" w:cs="仿宋"/>
          <w:b/>
          <w:bCs/>
          <w:color w:val="000000"/>
          <w:szCs w:val="21"/>
        </w:rPr>
        <w:t>1.起草单位</w:t>
      </w:r>
    </w:p>
    <w:p w14:paraId="33722D0E">
      <w:pPr>
        <w:pStyle w:val="30"/>
        <w:rPr>
          <w:rFonts w:hint="eastAsia" w:ascii="仿宋" w:hAnsi="仿宋" w:eastAsia="仿宋" w:cs="仿宋"/>
          <w:szCs w:val="21"/>
        </w:rPr>
      </w:pPr>
      <w:r>
        <w:rPr>
          <w:rFonts w:hint="eastAsia" w:ascii="仿宋" w:hAnsi="仿宋" w:eastAsia="仿宋" w:cs="仿宋"/>
          <w:szCs w:val="21"/>
        </w:rPr>
        <w:t>本文件由中国西部开发促进会提出并归口。</w:t>
      </w:r>
    </w:p>
    <w:p w14:paraId="3F8B68C3">
      <w:pPr>
        <w:pStyle w:val="30"/>
        <w:rPr>
          <w:rFonts w:hint="eastAsia" w:ascii="仿宋" w:hAnsi="仿宋" w:eastAsia="仿宋" w:cs="仿宋"/>
          <w:szCs w:val="21"/>
        </w:rPr>
      </w:pPr>
      <w:r>
        <w:rPr>
          <w:rFonts w:hint="eastAsia" w:ascii="仿宋" w:hAnsi="仿宋" w:eastAsia="仿宋" w:cs="仿宋"/>
          <w:szCs w:val="21"/>
        </w:rPr>
        <w:t>本文件由国网河南省电力公司开封供电公司等</w:t>
      </w:r>
      <w:r>
        <w:rPr>
          <w:rFonts w:hint="eastAsia" w:ascii="仿宋" w:hAnsi="仿宋" w:eastAsia="仿宋" w:cs="仿宋"/>
          <w:szCs w:val="21"/>
          <w:lang w:bidi="zh-CN"/>
        </w:rPr>
        <w:t>共同</w:t>
      </w:r>
      <w:r>
        <w:rPr>
          <w:rFonts w:hint="eastAsia" w:ascii="仿宋" w:hAnsi="仿宋" w:eastAsia="仿宋" w:cs="仿宋"/>
          <w:szCs w:val="21"/>
        </w:rPr>
        <w:t>起草。</w:t>
      </w:r>
    </w:p>
    <w:p w14:paraId="6C2D1883">
      <w:pPr>
        <w:pStyle w:val="30"/>
        <w:ind w:firstLine="0" w:firstLineChars="0"/>
        <w:rPr>
          <w:rFonts w:hint="eastAsia" w:ascii="仿宋" w:hAnsi="仿宋" w:eastAsia="仿宋" w:cs="仿宋"/>
          <w:b/>
          <w:bCs/>
          <w:szCs w:val="21"/>
        </w:rPr>
      </w:pPr>
      <w:r>
        <w:rPr>
          <w:rFonts w:hint="eastAsia" w:ascii="仿宋" w:hAnsi="仿宋" w:eastAsia="仿宋" w:cs="仿宋"/>
          <w:b/>
          <w:bCs/>
          <w:szCs w:val="21"/>
        </w:rPr>
        <w:t>2.主要工作成员及其所做工作</w:t>
      </w:r>
    </w:p>
    <w:p w14:paraId="4F06396F">
      <w:pPr>
        <w:pStyle w:val="30"/>
        <w:rPr>
          <w:rFonts w:hint="eastAsia" w:ascii="仿宋" w:hAnsi="仿宋" w:eastAsia="仿宋" w:cs="仿宋"/>
          <w:szCs w:val="21"/>
        </w:rPr>
      </w:pPr>
      <w:r>
        <w:rPr>
          <w:rFonts w:hint="eastAsia" w:ascii="仿宋" w:hAnsi="仿宋" w:eastAsia="仿宋" w:cs="仿宋"/>
          <w:szCs w:val="21"/>
        </w:rPr>
        <w:t>本文件主要工作及工作职责见表1。</w:t>
      </w:r>
    </w:p>
    <w:p w14:paraId="0BB1C4A3">
      <w:pPr>
        <w:pStyle w:val="30"/>
        <w:ind w:firstLine="0" w:firstLineChars="0"/>
        <w:jc w:val="center"/>
        <w:rPr>
          <w:rFonts w:hint="eastAsia" w:ascii="仿宋" w:hAnsi="仿宋" w:eastAsia="仿宋" w:cs="仿宋"/>
          <w:szCs w:val="21"/>
        </w:rPr>
      </w:pPr>
    </w:p>
    <w:p w14:paraId="6CA2A8E8">
      <w:pPr>
        <w:pStyle w:val="30"/>
        <w:ind w:firstLine="0" w:firstLineChars="0"/>
        <w:jc w:val="center"/>
        <w:rPr>
          <w:rFonts w:hint="eastAsia" w:ascii="仿宋" w:hAnsi="仿宋" w:eastAsia="仿宋" w:cs="仿宋"/>
          <w:szCs w:val="21"/>
        </w:rPr>
      </w:pPr>
      <w:r>
        <w:rPr>
          <w:rFonts w:hint="eastAsia" w:ascii="仿宋" w:hAnsi="仿宋" w:eastAsia="仿宋" w:cs="仿宋"/>
          <w:szCs w:val="21"/>
        </w:rPr>
        <w:t>表1 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7"/>
        <w:gridCol w:w="5221"/>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ind w:firstLine="0" w:firstLineChars="0"/>
              <w:jc w:val="center"/>
              <w:rPr>
                <w:rFonts w:hint="eastAsia" w:ascii="仿宋" w:hAnsi="仿宋" w:eastAsia="仿宋" w:cs="仿宋"/>
                <w:szCs w:val="21"/>
              </w:rPr>
            </w:pPr>
            <w:r>
              <w:rPr>
                <w:rFonts w:hint="eastAsia" w:ascii="仿宋" w:hAnsi="仿宋" w:eastAsia="仿宋" w:cs="仿宋"/>
                <w:szCs w:val="21"/>
              </w:rPr>
              <w:t>起草单位</w:t>
            </w:r>
          </w:p>
        </w:tc>
        <w:tc>
          <w:tcPr>
            <w:tcW w:w="5342" w:type="dxa"/>
          </w:tcPr>
          <w:p w14:paraId="65A92ED6">
            <w:pPr>
              <w:pStyle w:val="30"/>
              <w:ind w:firstLine="0" w:firstLineChars="0"/>
              <w:jc w:val="center"/>
              <w:rPr>
                <w:rFonts w:hint="eastAsia" w:ascii="仿宋" w:hAnsi="仿宋" w:eastAsia="仿宋" w:cs="仿宋"/>
                <w:szCs w:val="21"/>
              </w:rPr>
            </w:pPr>
            <w:r>
              <w:rPr>
                <w:rFonts w:hint="eastAsia" w:ascii="仿宋" w:hAnsi="仿宋" w:eastAsia="仿宋" w:cs="仿宋"/>
                <w:szCs w:val="21"/>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ind w:firstLine="0" w:firstLineChars="0"/>
              <w:rPr>
                <w:rFonts w:hint="eastAsia" w:ascii="仿宋" w:hAnsi="仿宋" w:eastAsia="仿宋" w:cs="仿宋"/>
                <w:szCs w:val="21"/>
                <w:highlight w:val="yellow"/>
                <w:lang w:val="en-US" w:eastAsia="zh-CN"/>
              </w:rPr>
            </w:pPr>
            <w:r>
              <w:rPr>
                <w:rFonts w:hint="eastAsia" w:ascii="仿宋" w:hAnsi="仿宋" w:eastAsia="仿宋" w:cs="仿宋"/>
                <w:szCs w:val="21"/>
              </w:rPr>
              <w:t>国网河南省电力公司开封供电公司</w:t>
            </w:r>
            <w:r>
              <w:rPr>
                <w:rFonts w:hint="eastAsia" w:ascii="仿宋" w:hAnsi="仿宋" w:eastAsia="仿宋" w:cs="仿宋"/>
                <w:szCs w:val="21"/>
                <w:lang w:val="en-US" w:eastAsia="zh-CN"/>
              </w:rPr>
              <w:t>等</w:t>
            </w:r>
          </w:p>
        </w:tc>
        <w:tc>
          <w:tcPr>
            <w:tcW w:w="5342" w:type="dxa"/>
          </w:tcPr>
          <w:p w14:paraId="112DE737">
            <w:pPr>
              <w:pStyle w:val="30"/>
              <w:ind w:firstLine="0" w:firstLineChars="0"/>
              <w:rPr>
                <w:rFonts w:hint="eastAsia" w:ascii="仿宋" w:hAnsi="仿宋" w:eastAsia="仿宋" w:cs="仿宋"/>
                <w:szCs w:val="21"/>
              </w:rPr>
            </w:pPr>
            <w:r>
              <w:rPr>
                <w:rFonts w:hint="eastAsia" w:ascii="仿宋" w:hAnsi="仿宋" w:eastAsia="仿宋" w:cs="仿宋"/>
                <w:szCs w:val="21"/>
              </w:rPr>
              <w:t>项目主编单位，负责标准编制统筹规划、技术方案确定、条文起草、试验验证组织、标准内容审核与整体协调</w:t>
            </w:r>
          </w:p>
          <w:p w14:paraId="50D897F4">
            <w:pPr>
              <w:pStyle w:val="30"/>
              <w:ind w:firstLine="0" w:firstLineChars="0"/>
              <w:rPr>
                <w:rFonts w:hint="eastAsia" w:ascii="仿宋" w:hAnsi="仿宋" w:eastAsia="仿宋" w:cs="仿宋"/>
                <w:szCs w:val="21"/>
              </w:rPr>
            </w:pPr>
            <w:r>
              <w:rPr>
                <w:rFonts w:hint="eastAsia" w:ascii="仿宋" w:hAnsi="仿宋" w:eastAsia="仿宋" w:cs="仿宋"/>
                <w:szCs w:val="21"/>
              </w:rPr>
              <w:t>参与容错运行与电能质量耦合控制技术调研，提供风电场运行数据与工程实践经验</w:t>
            </w:r>
            <w:r>
              <w:rPr>
                <w:rFonts w:hint="eastAsia" w:ascii="仿宋" w:hAnsi="仿宋" w:eastAsia="仿宋" w:cs="仿宋"/>
                <w:szCs w:val="21"/>
                <w:lang w:eastAsia="zh-CN"/>
              </w:rPr>
              <w:t>、</w:t>
            </w:r>
            <w:r>
              <w:rPr>
                <w:rFonts w:hint="eastAsia" w:ascii="仿宋" w:hAnsi="仿宋" w:eastAsia="仿宋" w:cs="仿宋"/>
                <w:szCs w:val="21"/>
              </w:rPr>
              <w:tab/>
            </w:r>
            <w:r>
              <w:rPr>
                <w:rFonts w:hint="eastAsia" w:ascii="仿宋" w:hAnsi="仿宋" w:eastAsia="仿宋" w:cs="仿宋"/>
                <w:szCs w:val="21"/>
              </w:rPr>
              <w:t>参与控制策略、参数整定、试验方法等技术内容编制，提供仿真与现场试验数据支撑。</w:t>
            </w:r>
          </w:p>
        </w:tc>
      </w:tr>
    </w:tbl>
    <w:p w14:paraId="1AC42465">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四、标准的编制原则</w:t>
      </w:r>
    </w:p>
    <w:p w14:paraId="05199C8B">
      <w:pPr>
        <w:pStyle w:val="30"/>
        <w:rPr>
          <w:rFonts w:hint="eastAsia" w:ascii="仿宋" w:hAnsi="仿宋" w:eastAsia="仿宋" w:cs="仿宋"/>
          <w:szCs w:val="21"/>
        </w:rPr>
      </w:pPr>
      <w:r>
        <w:rPr>
          <w:rFonts w:hint="eastAsia" w:ascii="仿宋" w:hAnsi="仿宋" w:eastAsia="仿宋" w:cs="仿宋"/>
          <w:szCs w:val="21"/>
        </w:rPr>
        <w:t>标准编制小组在编制标准过程中，以国家、行业现有的标准为制订基础，结合我国目前的行业现状，按照GB/T 1.1—2020《标准化工作导则 第1部分：标准化文件的结构和起草规则》的规定及相关要求编制。</w:t>
      </w:r>
    </w:p>
    <w:p w14:paraId="1C9A70ED">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五、标准编制过程</w:t>
      </w:r>
    </w:p>
    <w:p w14:paraId="57084A83">
      <w:pPr>
        <w:pStyle w:val="30"/>
        <w:rPr>
          <w:rFonts w:hint="eastAsia" w:ascii="仿宋" w:hAnsi="仿宋" w:eastAsia="仿宋" w:cs="仿宋"/>
          <w:szCs w:val="21"/>
        </w:rPr>
      </w:pPr>
      <w:r>
        <w:rPr>
          <w:rFonts w:hint="eastAsia" w:ascii="仿宋" w:hAnsi="仿宋" w:eastAsia="仿宋" w:cs="仿宋"/>
          <w:szCs w:val="21"/>
        </w:rPr>
        <w:t>5.1 标准调研</w:t>
      </w:r>
    </w:p>
    <w:p w14:paraId="7A5D33F9">
      <w:pPr>
        <w:pStyle w:val="30"/>
        <w:rPr>
          <w:rFonts w:hint="eastAsia" w:ascii="仿宋" w:hAnsi="仿宋" w:eastAsia="仿宋" w:cs="仿宋"/>
          <w:szCs w:val="21"/>
        </w:rPr>
      </w:pPr>
      <w:r>
        <w:rPr>
          <w:rFonts w:hint="eastAsia" w:ascii="仿宋" w:hAnsi="仿宋" w:eastAsia="仿宋" w:cs="仿宋"/>
          <w:szCs w:val="21"/>
        </w:rPr>
        <w:t>2026年4月，编制组系统梳理了国内外风电并网、故障穿越、电能质量、电力系统稳定性等相关国家、行业及团体标准，调研了双馈、直驱等不同类型风电机组及风电场的容错运行现状、电能质量治理难点、控制策略协同问题，收集了典型故障脱网案例、电能质量超标事件、耦合控制成功实践等资料，形成调研分析报告。</w:t>
      </w:r>
    </w:p>
    <w:p w14:paraId="4E182C3D">
      <w:pPr>
        <w:pStyle w:val="30"/>
        <w:rPr>
          <w:rFonts w:hint="eastAsia" w:ascii="仿宋" w:hAnsi="仿宋" w:eastAsia="仿宋" w:cs="仿宋"/>
          <w:szCs w:val="21"/>
        </w:rPr>
      </w:pPr>
      <w:r>
        <w:rPr>
          <w:rFonts w:hint="eastAsia" w:ascii="仿宋" w:hAnsi="仿宋" w:eastAsia="仿宋" w:cs="仿宋"/>
          <w:szCs w:val="21"/>
        </w:rPr>
        <w:t>5.2 标准立项</w:t>
      </w:r>
    </w:p>
    <w:p w14:paraId="663F7850">
      <w:pPr>
        <w:pStyle w:val="30"/>
        <w:rPr>
          <w:rFonts w:hint="eastAsia" w:ascii="仿宋" w:hAnsi="仿宋" w:eastAsia="仿宋" w:cs="仿宋"/>
          <w:szCs w:val="21"/>
        </w:rPr>
      </w:pPr>
      <w:r>
        <w:rPr>
          <w:rFonts w:hint="eastAsia" w:ascii="仿宋" w:hAnsi="仿宋" w:eastAsia="仿宋" w:cs="仿宋"/>
          <w:szCs w:val="21"/>
        </w:rPr>
        <w:t>2026年5月，基于调研成果，明确标准编制范围、核心技术内容、适用场景与预期目标，提交立项申请及支撑材料，经中国西部开发促进会审核通过后正式立项。</w:t>
      </w:r>
    </w:p>
    <w:p w14:paraId="34C396DA">
      <w:pPr>
        <w:pStyle w:val="30"/>
        <w:rPr>
          <w:rFonts w:hint="eastAsia" w:ascii="仿宋" w:hAnsi="仿宋" w:eastAsia="仿宋" w:cs="仿宋"/>
          <w:szCs w:val="21"/>
        </w:rPr>
      </w:pPr>
      <w:r>
        <w:rPr>
          <w:rFonts w:hint="eastAsia" w:ascii="仿宋" w:hAnsi="仿宋" w:eastAsia="仿宋" w:cs="仿宋"/>
          <w:szCs w:val="21"/>
        </w:rPr>
        <w:t>5.3 形成标准草案</w:t>
      </w:r>
    </w:p>
    <w:p w14:paraId="6EB403B4">
      <w:pPr>
        <w:pStyle w:val="30"/>
        <w:rPr>
          <w:rFonts w:hint="eastAsia" w:ascii="仿宋" w:hAnsi="仿宋" w:eastAsia="仿宋" w:cs="仿宋"/>
          <w:szCs w:val="21"/>
        </w:rPr>
      </w:pPr>
      <w:r>
        <w:rPr>
          <w:rFonts w:hint="eastAsia" w:ascii="仿宋" w:hAnsi="仿宋" w:eastAsia="仿宋" w:cs="仿宋"/>
          <w:szCs w:val="21"/>
        </w:rPr>
        <w:t>2026年5月，组建标准起草工作组，按照GB/T 1.1—2020搭建标准框架，细化术语定义、总则、容错运行要求、电能质量控制要求、耦合控制策略、控制参数与整定、试验与验证、运行维护等技术内容，结合行业实践完成草案初稿，经内部多轮研讨修改，形成标准草案。</w:t>
      </w:r>
    </w:p>
    <w:p w14:paraId="19158F70">
      <w:pPr>
        <w:pStyle w:val="30"/>
        <w:rPr>
          <w:rFonts w:hint="eastAsia" w:ascii="仿宋" w:hAnsi="仿宋" w:eastAsia="仿宋" w:cs="仿宋"/>
          <w:szCs w:val="21"/>
        </w:rPr>
      </w:pPr>
      <w:r>
        <w:rPr>
          <w:rFonts w:hint="eastAsia" w:ascii="仿宋" w:hAnsi="仿宋" w:eastAsia="仿宋" w:cs="仿宋"/>
          <w:szCs w:val="21"/>
        </w:rPr>
        <w:t>5.4 征求意见阶段</w:t>
      </w:r>
    </w:p>
    <w:p w14:paraId="7A61A0A3">
      <w:pPr>
        <w:pStyle w:val="30"/>
        <w:rPr>
          <w:rFonts w:hint="eastAsia" w:ascii="仿宋" w:hAnsi="仿宋" w:eastAsia="仿宋" w:cs="仿宋"/>
          <w:szCs w:val="21"/>
        </w:rPr>
      </w:pPr>
      <w:r>
        <w:rPr>
          <w:rFonts w:hint="eastAsia" w:ascii="仿宋" w:hAnsi="仿宋" w:eastAsia="仿宋" w:cs="仿宋"/>
          <w:szCs w:val="21"/>
        </w:rPr>
        <w:t>2026年5月至6月，通过行业协会、线上平台等渠道向电网企业、风电运营商、设备制造商、检测机构、科研院所等相关单位及专家征求意见，梳理汇总反馈建议，对草案进行修改完善，形成送审稿。</w:t>
      </w:r>
    </w:p>
    <w:p w14:paraId="679006F5">
      <w:pPr>
        <w:pStyle w:val="30"/>
        <w:rPr>
          <w:rFonts w:hint="eastAsia" w:ascii="仿宋" w:hAnsi="仿宋" w:eastAsia="仿宋" w:cs="仿宋"/>
          <w:szCs w:val="21"/>
        </w:rPr>
      </w:pPr>
      <w:r>
        <w:rPr>
          <w:rFonts w:hint="eastAsia" w:ascii="仿宋" w:hAnsi="仿宋" w:eastAsia="仿宋" w:cs="仿宋"/>
          <w:szCs w:val="21"/>
        </w:rPr>
        <w:t>5.5 标准送审</w:t>
      </w:r>
    </w:p>
    <w:p w14:paraId="7005A5F1">
      <w:pPr>
        <w:pStyle w:val="30"/>
        <w:rPr>
          <w:rFonts w:hint="eastAsia" w:ascii="仿宋" w:hAnsi="仿宋" w:eastAsia="仿宋" w:cs="仿宋"/>
          <w:szCs w:val="21"/>
        </w:rPr>
      </w:pPr>
      <w:r>
        <w:rPr>
          <w:rFonts w:hint="eastAsia" w:ascii="仿宋" w:hAnsi="仿宋" w:eastAsia="仿宋" w:cs="仿宋"/>
          <w:szCs w:val="21"/>
        </w:rPr>
        <w:t>2026年6月，将征求意见稿及编制说明、意见汇总处理表等材料报送团体标准审查委员会，组织专家进行会议审查或函审，根据审查意见进一步修改形成报批稿。</w:t>
      </w:r>
    </w:p>
    <w:p w14:paraId="582364D7">
      <w:pPr>
        <w:pStyle w:val="30"/>
        <w:rPr>
          <w:rFonts w:hint="eastAsia" w:ascii="仿宋" w:hAnsi="仿宋" w:eastAsia="仿宋" w:cs="仿宋"/>
          <w:szCs w:val="21"/>
        </w:rPr>
      </w:pPr>
      <w:r>
        <w:rPr>
          <w:rFonts w:hint="eastAsia" w:ascii="仿宋" w:hAnsi="仿宋" w:eastAsia="仿宋" w:cs="仿宋"/>
          <w:szCs w:val="21"/>
        </w:rPr>
        <w:t>5.6 标准报批</w:t>
      </w:r>
    </w:p>
    <w:p w14:paraId="46330998">
      <w:pPr>
        <w:pStyle w:val="30"/>
        <w:rPr>
          <w:rFonts w:hint="eastAsia" w:ascii="仿宋" w:hAnsi="仿宋" w:eastAsia="仿宋" w:cs="仿宋"/>
          <w:szCs w:val="21"/>
        </w:rPr>
      </w:pPr>
      <w:r>
        <w:rPr>
          <w:rFonts w:hint="eastAsia" w:ascii="仿宋" w:hAnsi="仿宋" w:eastAsia="仿宋" w:cs="仿宋"/>
          <w:szCs w:val="21"/>
        </w:rPr>
        <w:t>2026年7月，完善报批稿相关材料，按规定流程报送团体标准管理机构，经审核确认符合发布要求后，办理报批手续，确定标准发布编号、实施日期并正式发布。</w:t>
      </w:r>
    </w:p>
    <w:p w14:paraId="0431BCCE">
      <w:pPr>
        <w:pStyle w:val="30"/>
        <w:ind w:firstLine="0" w:firstLineChars="0"/>
        <w:rPr>
          <w:rFonts w:hint="eastAsia" w:ascii="仿宋" w:hAnsi="仿宋" w:eastAsia="仿宋" w:cs="仿宋"/>
          <w:szCs w:val="21"/>
        </w:rPr>
      </w:pPr>
      <w:r>
        <w:rPr>
          <w:rFonts w:hint="eastAsia" w:ascii="仿宋" w:hAnsi="仿宋" w:eastAsia="仿宋" w:cs="仿宋"/>
          <w:b/>
          <w:bCs/>
          <w:color w:val="000000"/>
          <w:szCs w:val="21"/>
        </w:rPr>
        <w:t>六、试验验证的分析、综述报告，技术经济论证，预期的经济效益、社会效益和生态效益</w:t>
      </w:r>
    </w:p>
    <w:p w14:paraId="63CAB29E">
      <w:pPr>
        <w:pStyle w:val="30"/>
        <w:rPr>
          <w:rFonts w:hint="eastAsia" w:ascii="仿宋" w:hAnsi="仿宋" w:eastAsia="仿宋" w:cs="仿宋"/>
          <w:szCs w:val="21"/>
        </w:rPr>
      </w:pPr>
      <w:r>
        <w:rPr>
          <w:rFonts w:hint="eastAsia" w:ascii="仿宋" w:hAnsi="仿宋" w:eastAsia="仿宋" w:cs="仿宋"/>
          <w:szCs w:val="21"/>
        </w:rPr>
        <w:t>1. 试验验证分析、综述报告</w:t>
      </w:r>
    </w:p>
    <w:p w14:paraId="60120B5B">
      <w:pPr>
        <w:pStyle w:val="30"/>
        <w:rPr>
          <w:rFonts w:hint="eastAsia" w:ascii="仿宋" w:hAnsi="仿宋" w:eastAsia="仿宋" w:cs="仿宋"/>
          <w:szCs w:val="21"/>
        </w:rPr>
      </w:pPr>
      <w:r>
        <w:rPr>
          <w:rFonts w:hint="eastAsia" w:ascii="仿宋" w:hAnsi="仿宋" w:eastAsia="仿宋" w:cs="仿宋"/>
          <w:szCs w:val="21"/>
        </w:rPr>
        <w:t>本标准技术内容经过大量仿真试验与现场测试验证，覆盖低电压穿越、高电压穿越、连锁故障穿越、谐波治理、电压波动抑制、三相不平衡补偿、耦合控制策略等核心要点。通过搭建风电场实时数字仿真平台和半实物仿真系统，对容错控制参数、电能质量控制参数和耦合协调参数进行了系统优化与验证，并在多个实际风电场开展了现场测试，累计获得有效数据数千组。</w:t>
      </w:r>
    </w:p>
    <w:p w14:paraId="08DA121B">
      <w:pPr>
        <w:pStyle w:val="30"/>
        <w:rPr>
          <w:rFonts w:hint="eastAsia" w:ascii="仿宋" w:hAnsi="仿宋" w:eastAsia="仿宋" w:cs="仿宋"/>
          <w:szCs w:val="21"/>
        </w:rPr>
      </w:pPr>
    </w:p>
    <w:p w14:paraId="5459ED45">
      <w:pPr>
        <w:pStyle w:val="30"/>
        <w:rPr>
          <w:rFonts w:hint="eastAsia" w:ascii="仿宋" w:hAnsi="仿宋" w:eastAsia="仿宋" w:cs="仿宋"/>
          <w:szCs w:val="21"/>
        </w:rPr>
      </w:pPr>
      <w:r>
        <w:rPr>
          <w:rFonts w:hint="eastAsia" w:ascii="仿宋" w:hAnsi="仿宋" w:eastAsia="仿宋" w:cs="仿宋"/>
          <w:szCs w:val="21"/>
        </w:rPr>
        <w:t>验证结果表明：本标准规定的低电压穿越无功电流增益系数、高电压穿越感性无功电流增益系数、谐波补偿率、三相不平衡补偿率等技术指标科学合理、成熟可靠，与工程实际高度适配，可有效提升风电并网系统的故障穿越成功率和电能质量水平，耦合控制策略能够实现容错与电能质量的双重优化，为标准条文提供了充分的数据支撑。</w:t>
      </w:r>
    </w:p>
    <w:p w14:paraId="67EA507D">
      <w:pPr>
        <w:pStyle w:val="30"/>
        <w:rPr>
          <w:rFonts w:hint="eastAsia" w:ascii="仿宋" w:hAnsi="仿宋" w:eastAsia="仿宋" w:cs="仿宋"/>
          <w:szCs w:val="21"/>
        </w:rPr>
      </w:pPr>
      <w:r>
        <w:rPr>
          <w:rFonts w:hint="eastAsia" w:ascii="仿宋" w:hAnsi="仿宋" w:eastAsia="仿宋" w:cs="仿宋"/>
          <w:szCs w:val="21"/>
        </w:rPr>
        <w:t>2. 技术经济论证</w:t>
      </w:r>
    </w:p>
    <w:p w14:paraId="1FD36DDA">
      <w:pPr>
        <w:pStyle w:val="30"/>
        <w:rPr>
          <w:rFonts w:hint="eastAsia" w:ascii="仿宋" w:hAnsi="仿宋" w:eastAsia="仿宋" w:cs="仿宋"/>
          <w:szCs w:val="21"/>
        </w:rPr>
      </w:pPr>
      <w:r>
        <w:rPr>
          <w:rFonts w:hint="eastAsia" w:ascii="仿宋" w:hAnsi="仿宋" w:eastAsia="仿宋" w:cs="仿宋"/>
          <w:szCs w:val="21"/>
        </w:rPr>
        <w:t>技术上，本标准整合了低电压穿越、高电压穿越、连锁故障穿越、谐波治理、电压波动抑制、三相不平衡补偿、多目标优化、分层控制等先进技术，构建了容错运行与电能质量耦合控制的完整技术体系，统一了控制策略、参数整定、试验验证方法，可解决当前容错与电能质量控制不协同、参数不匹配、治理效果不佳等问题，与现行国家标准、行业标准兼容，推动风电并网控制技术规范化升级。</w:t>
      </w:r>
    </w:p>
    <w:p w14:paraId="588934AC">
      <w:pPr>
        <w:pStyle w:val="30"/>
        <w:rPr>
          <w:rFonts w:hint="eastAsia" w:ascii="仿宋" w:hAnsi="仿宋" w:eastAsia="仿宋" w:cs="仿宋"/>
          <w:szCs w:val="21"/>
        </w:rPr>
      </w:pPr>
      <w:r>
        <w:rPr>
          <w:rFonts w:hint="eastAsia" w:ascii="仿宋" w:hAnsi="仿宋" w:eastAsia="仿宋" w:cs="仿宋"/>
          <w:szCs w:val="21"/>
        </w:rPr>
        <w:t>经济上，标准化实施可显著降低风电机组因故障穿越失败导致的脱网损失，减少设备损坏与维修更换成本，提高风能利用率，降低因电能质量问题导致的考核罚款，延长设备使用寿命。应用本标准可提升风电并网系统的运行可靠性和电能质量水平，综合经济效益显著。</w:t>
      </w:r>
    </w:p>
    <w:p w14:paraId="0F9E9366">
      <w:pPr>
        <w:pStyle w:val="30"/>
        <w:rPr>
          <w:rFonts w:hint="eastAsia" w:ascii="仿宋" w:hAnsi="仿宋" w:eastAsia="仿宋" w:cs="仿宋"/>
          <w:szCs w:val="21"/>
        </w:rPr>
      </w:pPr>
      <w:r>
        <w:rPr>
          <w:rFonts w:hint="eastAsia" w:ascii="仿宋" w:hAnsi="仿宋" w:eastAsia="仿宋" w:cs="仿宋"/>
          <w:szCs w:val="21"/>
        </w:rPr>
        <w:t>3. 预期的经济效益</w:t>
      </w:r>
    </w:p>
    <w:p w14:paraId="0BC6C8F9">
      <w:pPr>
        <w:pStyle w:val="30"/>
        <w:rPr>
          <w:rFonts w:hint="eastAsia" w:ascii="仿宋" w:hAnsi="仿宋" w:eastAsia="仿宋" w:cs="仿宋"/>
          <w:szCs w:val="21"/>
        </w:rPr>
      </w:pPr>
      <w:r>
        <w:rPr>
          <w:rFonts w:hint="eastAsia" w:ascii="仿宋" w:hAnsi="仿宋" w:eastAsia="仿宋" w:cs="仿宋"/>
          <w:szCs w:val="21"/>
        </w:rPr>
        <w:t>标准实施后将产生显著经济效益：一是降低风电机组故障脱网率，减少发电量损失；二是减少因电能质量超标导致的电网考核罚款；三是降低设备故障率和维修成本，延长设备使用寿命；四是提升风电场对弱电网的适应性，扩大风电消纳空间；五是统一技术门槛，降低风电场设计、调试和运维的试错成本。推广应用后可在全国风电领域实现显著降本增效。</w:t>
      </w:r>
    </w:p>
    <w:p w14:paraId="5A9C6597">
      <w:pPr>
        <w:pStyle w:val="30"/>
        <w:rPr>
          <w:rFonts w:hint="eastAsia" w:ascii="仿宋" w:hAnsi="仿宋" w:eastAsia="仿宋" w:cs="仿宋"/>
          <w:szCs w:val="21"/>
        </w:rPr>
      </w:pPr>
      <w:r>
        <w:rPr>
          <w:rFonts w:hint="eastAsia" w:ascii="仿宋" w:hAnsi="仿宋" w:eastAsia="仿宋" w:cs="仿宋"/>
          <w:szCs w:val="21"/>
        </w:rPr>
        <w:t>4. 社会效益和生态效益</w:t>
      </w:r>
    </w:p>
    <w:p w14:paraId="62991666">
      <w:pPr>
        <w:pStyle w:val="30"/>
        <w:rPr>
          <w:rFonts w:hint="eastAsia" w:ascii="仿宋" w:hAnsi="仿宋" w:eastAsia="仿宋" w:cs="仿宋"/>
          <w:szCs w:val="21"/>
        </w:rPr>
      </w:pPr>
      <w:r>
        <w:rPr>
          <w:rFonts w:hint="eastAsia" w:ascii="仿宋" w:hAnsi="仿宋" w:eastAsia="仿宋" w:cs="仿宋"/>
          <w:szCs w:val="21"/>
        </w:rPr>
        <w:t>本标准可有效提升风电并网系统的安全稳定运行水平，减少大规模风电脱网事故对电网的冲击，保障电力系统安全；推动风电产业高质量发展，提升风能利用率，促进可再生能源消纳，助力“双碳”目标实现；带动风电控制技术、电力电子技术、电能质量治理技术等相关产业链升级；统一技术标准，促进公平竞争与行业健康发展，具有显著的社会效益和生态效益。</w:t>
      </w:r>
    </w:p>
    <w:p w14:paraId="10A20A3F">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七、与国际、国外同类标准技术内容的对比情况。</w:t>
      </w:r>
    </w:p>
    <w:p w14:paraId="7A4EF88F">
      <w:pPr>
        <w:pStyle w:val="30"/>
        <w:rPr>
          <w:rFonts w:hint="eastAsia" w:ascii="仿宋" w:hAnsi="仿宋" w:eastAsia="仿宋" w:cs="仿宋"/>
          <w:szCs w:val="21"/>
        </w:rPr>
      </w:pPr>
      <w:r>
        <w:rPr>
          <w:rFonts w:hint="eastAsia" w:ascii="仿宋" w:hAnsi="仿宋" w:eastAsia="仿宋" w:cs="仿宋"/>
          <w:szCs w:val="21"/>
        </w:rPr>
        <w:t>无。</w:t>
      </w:r>
    </w:p>
    <w:p w14:paraId="718EB447">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八、以国际标准为基础的起草情况，以及是否合规引用或者采用国际国外标准，并说明未采用国际标准的原因</w:t>
      </w:r>
    </w:p>
    <w:p w14:paraId="2AE6D9E8">
      <w:pPr>
        <w:pStyle w:val="30"/>
        <w:rPr>
          <w:rFonts w:hint="eastAsia" w:ascii="仿宋" w:hAnsi="仿宋" w:eastAsia="仿宋" w:cs="仿宋"/>
          <w:szCs w:val="21"/>
        </w:rPr>
      </w:pPr>
      <w:r>
        <w:rPr>
          <w:rFonts w:hint="eastAsia" w:ascii="仿宋" w:hAnsi="仿宋" w:eastAsia="仿宋" w:cs="仿宋"/>
          <w:szCs w:val="21"/>
        </w:rPr>
        <w:t>无。本文件自主制定。</w:t>
      </w:r>
    </w:p>
    <w:p w14:paraId="73EEA8A3">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九、标准主要内容</w:t>
      </w:r>
    </w:p>
    <w:p w14:paraId="37543F73">
      <w:pPr>
        <w:pStyle w:val="169"/>
        <w:adjustRightInd w:val="0"/>
        <w:snapToGrid w:val="0"/>
        <w:ind w:firstLine="420"/>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bidi="ar-SA"/>
        </w:rPr>
        <w:t>本文件共分为10章，主要技术内容如下：</w:t>
      </w:r>
    </w:p>
    <w:p w14:paraId="62B32E63">
      <w:pPr>
        <w:pStyle w:val="169"/>
        <w:adjustRightInd w:val="0"/>
        <w:snapToGrid w:val="0"/>
        <w:ind w:firstLine="420"/>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bidi="ar-SA"/>
        </w:rPr>
        <w:t>第1章 范围：规定了本文件的适用范围和适用对象。</w:t>
      </w:r>
    </w:p>
    <w:p w14:paraId="2A5B581B">
      <w:pPr>
        <w:pStyle w:val="169"/>
        <w:adjustRightInd w:val="0"/>
        <w:snapToGrid w:val="0"/>
        <w:ind w:firstLine="420"/>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bidi="ar-SA"/>
        </w:rPr>
        <w:t>第2章 规范性引用文件：列出了本文件引用的国家标准和行业标准。</w:t>
      </w:r>
    </w:p>
    <w:p w14:paraId="24A1AF52">
      <w:pPr>
        <w:pStyle w:val="169"/>
        <w:adjustRightInd w:val="0"/>
        <w:snapToGrid w:val="0"/>
        <w:ind w:firstLine="420"/>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bidi="ar-SA"/>
        </w:rPr>
        <w:t>第3章 术语和定义：对容错运行、低电压穿越、高电压穿越、连锁故障穿越、电能质量、谐波畸变率、电压波动、闪变、三相不平衡、耦合控制、多目标优化、分层控制、有功功率恢复时间、动态无功支撑等核心术语进行了定义。</w:t>
      </w:r>
    </w:p>
    <w:p w14:paraId="3DF8A40A">
      <w:pPr>
        <w:pStyle w:val="169"/>
        <w:adjustRightInd w:val="0"/>
        <w:snapToGrid w:val="0"/>
        <w:ind w:firstLine="420"/>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bidi="ar-SA"/>
        </w:rPr>
        <w:t>第4章 总则：规定了控制原则、系统配置、协同要求、设备要求、监测通信等基本要求。</w:t>
      </w:r>
    </w:p>
    <w:p w14:paraId="5F4EAA11">
      <w:pPr>
        <w:pStyle w:val="169"/>
        <w:adjustRightInd w:val="0"/>
        <w:snapToGrid w:val="0"/>
        <w:ind w:firstLine="420"/>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bidi="ar-SA"/>
        </w:rPr>
        <w:t>第5章 容错运行要求：规定了低电压穿越、高电压穿越、连锁故障穿越、频率扰动容错、设备故障容错、电网扰动容错等要求，并以表格形式给出了容错能力指标。</w:t>
      </w:r>
    </w:p>
    <w:p w14:paraId="2232CACE">
      <w:pPr>
        <w:pStyle w:val="169"/>
        <w:adjustRightInd w:val="0"/>
        <w:snapToGrid w:val="0"/>
        <w:ind w:firstLine="420"/>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bidi="ar-SA"/>
        </w:rPr>
        <w:t>第6章 电能质量控制要求：规定了谐波控制、电压偏差控制、电压波动与闪变控制、三相不平衡补偿、无功功率和功率因数控制、电能质量监测与评估等要求。</w:t>
      </w:r>
    </w:p>
    <w:p w14:paraId="77699E7C">
      <w:pPr>
        <w:pStyle w:val="169"/>
        <w:adjustRightInd w:val="0"/>
        <w:snapToGrid w:val="0"/>
        <w:ind w:firstLine="420"/>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bidi="ar-SA"/>
        </w:rPr>
        <w:t>第7章 耦合控制策略：规定了耦合控制架构、容错与电能质量协同控制、多目标优化控制、自适应调整控制、故障下耦合控制等要求，并以表格形式给出了多目标优化权重参考。</w:t>
      </w:r>
    </w:p>
    <w:p w14:paraId="0E9F66D1">
      <w:pPr>
        <w:pStyle w:val="169"/>
        <w:adjustRightInd w:val="0"/>
        <w:snapToGrid w:val="0"/>
        <w:ind w:firstLine="420"/>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bidi="ar-SA"/>
        </w:rPr>
        <w:t>第8章 控制参数与整定：规定了容错控制参数、电能质量控制参数、耦合协调参数、参数整定方法等要求，并以表格形式给出了各参数的范围和整定原则。</w:t>
      </w:r>
    </w:p>
    <w:p w14:paraId="65E0BC3A">
      <w:pPr>
        <w:pStyle w:val="169"/>
        <w:adjustRightInd w:val="0"/>
        <w:snapToGrid w:val="0"/>
        <w:ind w:firstLine="420"/>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bidi="ar-SA"/>
        </w:rPr>
        <w:t>第9章 试验与验证：规定了仿真试验、现场试验、性能验证指标、测试报告要求等。</w:t>
      </w:r>
    </w:p>
    <w:p w14:paraId="4F729A66">
      <w:pPr>
        <w:pStyle w:val="169"/>
        <w:adjustRightInd w:val="0"/>
        <w:snapToGrid w:val="0"/>
        <w:ind w:firstLine="420"/>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bidi="ar-SA"/>
        </w:rPr>
        <w:t>第10章 运行维护：规定了监测与预警、参数优化、故障处置、定期校验、技术升级等要求，并以表格形式给出了故障处置流程。</w:t>
      </w:r>
    </w:p>
    <w:p w14:paraId="2545AB1A">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十、与有关的现行法律、法规和强制性国家标准及相关标准协调配套情况</w:t>
      </w:r>
    </w:p>
    <w:p w14:paraId="3C228C48">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本文件的制定过程等符合现行法律、法规和强制性国家标准的规定。</w:t>
      </w:r>
    </w:p>
    <w:p w14:paraId="433D6DCC">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十一、重大分歧意见的处理经过和依据</w:t>
      </w:r>
    </w:p>
    <w:p w14:paraId="106E5E00">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无。</w:t>
      </w:r>
    </w:p>
    <w:p w14:paraId="0912C1A3">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十二、标准作为强制性或推荐性标准的建议</w:t>
      </w:r>
    </w:p>
    <w:p w14:paraId="24C07FB0">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建议该标准作为推荐性团体标准。</w:t>
      </w:r>
    </w:p>
    <w:p w14:paraId="6F001D2A">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十三、贯彻标准的要求和措施建议，包括（组织措施、技术措施、过渡办法）</w:t>
      </w:r>
    </w:p>
    <w:p w14:paraId="29A31206">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由于本文件首次制定，没有特殊要求。</w:t>
      </w:r>
    </w:p>
    <w:p w14:paraId="7C9E39C5">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十四、废止现有有关标准的建议</w:t>
      </w:r>
    </w:p>
    <w:p w14:paraId="1C521100">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无。</w:t>
      </w:r>
    </w:p>
    <w:p w14:paraId="58A38841">
      <w:pPr>
        <w:snapToGrid w:val="0"/>
        <w:ind w:firstLine="420" w:firstLineChars="200"/>
        <w:rPr>
          <w:rFonts w:hint="eastAsia" w:ascii="仿宋" w:hAnsi="仿宋" w:eastAsia="仿宋" w:cs="仿宋"/>
          <w:kern w:val="0"/>
          <w:szCs w:val="21"/>
        </w:rPr>
      </w:pPr>
    </w:p>
    <w:p w14:paraId="180512C4">
      <w:pPr>
        <w:snapToGrid w:val="0"/>
        <w:ind w:firstLine="420" w:firstLineChars="200"/>
        <w:jc w:val="right"/>
        <w:rPr>
          <w:rFonts w:hint="eastAsia" w:ascii="仿宋" w:hAnsi="仿宋" w:eastAsia="仿宋" w:cs="仿宋"/>
          <w:kern w:val="0"/>
          <w:szCs w:val="21"/>
        </w:rPr>
      </w:pPr>
      <w:r>
        <w:rPr>
          <w:rFonts w:hint="eastAsia" w:ascii="仿宋" w:hAnsi="仿宋" w:eastAsia="仿宋" w:cs="仿宋"/>
          <w:kern w:val="0"/>
          <w:szCs w:val="21"/>
        </w:rPr>
        <w:t>团体标准工作组</w:t>
      </w:r>
    </w:p>
    <w:p w14:paraId="57A29966">
      <w:pPr>
        <w:snapToGrid w:val="0"/>
        <w:ind w:firstLine="420" w:firstLineChars="200"/>
        <w:jc w:val="right"/>
        <w:rPr>
          <w:rFonts w:hint="eastAsia" w:ascii="仿宋" w:hAnsi="仿宋" w:eastAsia="仿宋" w:cs="仿宋"/>
          <w:kern w:val="0"/>
          <w:szCs w:val="21"/>
        </w:rPr>
      </w:pPr>
      <w:r>
        <w:rPr>
          <w:rFonts w:hint="eastAsia" w:ascii="仿宋" w:hAnsi="仿宋" w:eastAsia="仿宋" w:cs="仿宋"/>
          <w:kern w:val="0"/>
          <w:szCs w:val="21"/>
        </w:rPr>
        <w:t>202</w:t>
      </w:r>
      <w:r>
        <w:rPr>
          <w:rFonts w:hint="eastAsia" w:ascii="仿宋" w:hAnsi="仿宋" w:eastAsia="仿宋" w:cs="仿宋"/>
          <w:kern w:val="0"/>
          <w:szCs w:val="21"/>
          <w:lang w:val="en-US" w:eastAsia="zh-CN"/>
        </w:rPr>
        <w:t>6</w:t>
      </w:r>
      <w:r>
        <w:rPr>
          <w:rFonts w:hint="eastAsia" w:ascii="仿宋" w:hAnsi="仿宋" w:eastAsia="仿宋" w:cs="仿宋"/>
          <w:kern w:val="0"/>
          <w:szCs w:val="21"/>
        </w:rPr>
        <w:t>年</w:t>
      </w:r>
      <w:r>
        <w:rPr>
          <w:rFonts w:hint="eastAsia" w:ascii="仿宋" w:hAnsi="仿宋" w:eastAsia="仿宋" w:cs="仿宋"/>
          <w:kern w:val="0"/>
          <w:szCs w:val="21"/>
          <w:lang w:val="en-US" w:eastAsia="zh-CN"/>
        </w:rPr>
        <w:t>5</w:t>
      </w:r>
      <w:bookmarkStart w:id="34" w:name="_GoBack"/>
      <w:bookmarkEnd w:id="34"/>
      <w:r>
        <w:rPr>
          <w:rFonts w:hint="eastAsia" w:ascii="仿宋" w:hAnsi="仿宋" w:eastAsia="仿宋" w:cs="仿宋"/>
          <w:kern w:val="0"/>
          <w:szCs w:val="21"/>
        </w:rPr>
        <w:t>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hint="eastAsia"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hint="eastAsia"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3"/>
  </w:num>
  <w:num w:numId="5">
    <w:abstractNumId w:val="2"/>
  </w:num>
  <w:num w:numId="6">
    <w:abstractNumId w:val="9"/>
  </w:num>
  <w:num w:numId="7">
    <w:abstractNumId w:val="0"/>
  </w:num>
  <w:num w:numId="8">
    <w:abstractNumId w:val="3"/>
  </w:num>
  <w:num w:numId="9">
    <w:abstractNumId w:val="5"/>
  </w:num>
  <w:num w:numId="10">
    <w:abstractNumId w:val="12"/>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3D82"/>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548F"/>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D0D"/>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380B"/>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4103"/>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6A9"/>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570A"/>
    <w:rsid w:val="00316BAD"/>
    <w:rsid w:val="00317009"/>
    <w:rsid w:val="003175DB"/>
    <w:rsid w:val="00320AF9"/>
    <w:rsid w:val="00321CF6"/>
    <w:rsid w:val="0032241D"/>
    <w:rsid w:val="0032293F"/>
    <w:rsid w:val="0032342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58ED"/>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6ACC"/>
    <w:rsid w:val="00367563"/>
    <w:rsid w:val="003676D1"/>
    <w:rsid w:val="00370458"/>
    <w:rsid w:val="003739EF"/>
    <w:rsid w:val="00373B14"/>
    <w:rsid w:val="0037505B"/>
    <w:rsid w:val="00375354"/>
    <w:rsid w:val="00375564"/>
    <w:rsid w:val="0037697E"/>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BA2"/>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1EE8"/>
    <w:rsid w:val="004E2580"/>
    <w:rsid w:val="004E27C7"/>
    <w:rsid w:val="004E3B98"/>
    <w:rsid w:val="004E4699"/>
    <w:rsid w:val="004E4DDA"/>
    <w:rsid w:val="004E6843"/>
    <w:rsid w:val="004E6B8B"/>
    <w:rsid w:val="004E7D10"/>
    <w:rsid w:val="004F0A1E"/>
    <w:rsid w:val="004F1A95"/>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2B81"/>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47B3D"/>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10F1"/>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69"/>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3E6"/>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6EAB"/>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0BA3"/>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5985"/>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551"/>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2FA"/>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878"/>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48E"/>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06EC"/>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08EC"/>
    <w:rsid w:val="00CD1023"/>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77"/>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4AD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77619"/>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2CD9"/>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6312"/>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78E"/>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D74C4"/>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3C62"/>
    <w:rsid w:val="00FF49A5"/>
    <w:rsid w:val="00FF6868"/>
    <w:rsid w:val="01927D66"/>
    <w:rsid w:val="01AC3A93"/>
    <w:rsid w:val="02057360"/>
    <w:rsid w:val="02626557"/>
    <w:rsid w:val="026E651E"/>
    <w:rsid w:val="02DA1673"/>
    <w:rsid w:val="03EB77C0"/>
    <w:rsid w:val="03F9277D"/>
    <w:rsid w:val="042E630D"/>
    <w:rsid w:val="047459CF"/>
    <w:rsid w:val="0537491E"/>
    <w:rsid w:val="057B5C57"/>
    <w:rsid w:val="0588675A"/>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AF5494"/>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830B39"/>
    <w:rsid w:val="2E257B1B"/>
    <w:rsid w:val="2E677AE4"/>
    <w:rsid w:val="2F075F3B"/>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C37D91"/>
    <w:rsid w:val="49D514FA"/>
    <w:rsid w:val="49F66C27"/>
    <w:rsid w:val="4A742353"/>
    <w:rsid w:val="4A9F67FA"/>
    <w:rsid w:val="4AB8769B"/>
    <w:rsid w:val="4ADD58CC"/>
    <w:rsid w:val="4AEA1DFB"/>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7D2BB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7965C7"/>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9A5295"/>
    <w:rsid w:val="6CDE34BF"/>
    <w:rsid w:val="6D572222"/>
    <w:rsid w:val="6D6A6E60"/>
    <w:rsid w:val="6D8A711B"/>
    <w:rsid w:val="6DE31839"/>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5E0932"/>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Autospacing="1" w:afterAutospacing="1"/>
      <w:jc w:val="left"/>
      <w:outlineLvl w:val="1"/>
    </w:pPr>
    <w:rPr>
      <w:rFonts w:hint="eastAsia" w:ascii="宋体" w:hAnsi="宋体"/>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paragraph" w:styleId="6">
    <w:name w:val="heading 5"/>
    <w:basedOn w:val="1"/>
    <w:next w:val="1"/>
    <w:semiHidden/>
    <w:unhideWhenUsed/>
    <w:qFormat/>
    <w:uiPriority w:val="0"/>
    <w:pPr>
      <w:spacing w:beforeAutospacing="1" w:afterAutospacing="1"/>
      <w:jc w:val="left"/>
      <w:outlineLvl w:val="4"/>
    </w:pPr>
    <w:rPr>
      <w:rFonts w:hint="eastAsia" w:ascii="宋体" w:hAnsi="宋体"/>
      <w:b/>
      <w:bCs/>
      <w:kern w:val="0"/>
      <w:sz w:val="20"/>
      <w:szCs w:val="20"/>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wordWrap w:val="0"/>
      <w:overflowPunct w:val="0"/>
      <w:autoSpaceDE w:val="0"/>
      <w:autoSpaceDN w:val="0"/>
      <w:textAlignment w:val="baseline"/>
      <w:outlineLvl w:val="3"/>
    </w:pPr>
  </w:style>
  <w:style w:type="paragraph" w:customStyle="1" w:styleId="188">
    <w:name w:val="列表段落1"/>
    <w:basedOn w:val="1"/>
    <w:autoRedefine/>
    <w:qFormat/>
    <w:uiPriority w:val="0"/>
    <w:pPr>
      <w:ind w:firstLine="420" w:firstLineChars="200"/>
    </w:pPr>
  </w:style>
  <w:style w:type="paragraph" w:customStyle="1" w:styleId="189">
    <w:name w:val="Table Text"/>
    <w:basedOn w:val="1"/>
    <w:autoRedefine/>
    <w:semiHidden/>
    <w:qFormat/>
    <w:uiPriority w:val="0"/>
    <w:rPr>
      <w:rFonts w:ascii="宋体" w:hAnsi="宋体" w:cs="宋体"/>
      <w:szCs w:val="21"/>
      <w:lang w:eastAsia="en-US"/>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4</Pages>
  <Words>3578</Words>
  <Characters>3648</Characters>
  <Lines>67</Lines>
  <Paragraphs>74</Paragraphs>
  <TotalTime>15</TotalTime>
  <ScaleCrop>false</ScaleCrop>
  <LinksUpToDate>false</LinksUpToDate>
  <CharactersWithSpaces>3677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2026-05-29T06:34:29Z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5CBB190751C94FC68BEB271360AB05B3_13</vt:lpwstr>
  </property>
  <property fmtid="{D5CDD505-2E9C-101B-9397-08002B2CF9AE}" pid="4" name="KSOTemplateDocerSaveRecord">
    <vt:lpwstr>eyJoZGlkIjoiMTY4OTVhMzE4OTk4YjFkOWQyZmQ2NGM4ODg1MjRjOGEiLCJ1c2VySWQiOiIxNzIwMDUxMzI4In0=</vt:lpwstr>
  </property>
</Properties>
</file>