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7230F16A"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61145E" w:rsidRPr="0061145E">
        <w:rPr>
          <w:rFonts w:ascii="仿宋" w:eastAsia="仿宋" w:hAnsi="仿宋" w:cs="仿宋"/>
          <w:b/>
          <w:bCs/>
          <w:sz w:val="32"/>
          <w:szCs w:val="32"/>
        </w:rPr>
        <w:t>开关柜暂态地电压局放与红外热像一体化传感器性能分级评价方法</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64D94F38"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61145E">
        <w:rPr>
          <w:rFonts w:ascii="仿宋" w:eastAsia="仿宋" w:hAnsi="仿宋" w:cs="仿宋" w:hint="eastAsia"/>
          <w:szCs w:val="21"/>
        </w:rPr>
        <w:t>5</w:t>
      </w:r>
      <w:r>
        <w:rPr>
          <w:rFonts w:ascii="仿宋" w:eastAsia="仿宋" w:hAnsi="仿宋" w:cs="仿宋" w:hint="eastAsia"/>
          <w:szCs w:val="21"/>
        </w:rPr>
        <w:t>月，中国西部开发促进会发布《</w:t>
      </w:r>
      <w:r w:rsidR="0061145E" w:rsidRPr="0061145E">
        <w:rPr>
          <w:rFonts w:ascii="仿宋" w:eastAsia="仿宋" w:hAnsi="仿宋" w:cs="仿宋"/>
          <w:szCs w:val="21"/>
        </w:rPr>
        <w:t>开关柜暂态地电压局放与红外热像一体化传感器性能分级评价方法</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6A63363D" w:rsidR="00DD042A" w:rsidRDefault="00084540">
      <w:pPr>
        <w:pStyle w:val="affc"/>
        <w:widowControl/>
        <w:spacing w:beforeAutospacing="0" w:afterAutospacing="0"/>
        <w:ind w:firstLineChars="200" w:firstLine="420"/>
        <w:jc w:val="both"/>
        <w:rPr>
          <w:rFonts w:ascii="仿宋" w:eastAsia="仿宋" w:hAnsi="仿宋" w:cs="仿宋" w:hint="eastAsia"/>
          <w:sz w:val="21"/>
          <w:szCs w:val="21"/>
        </w:rPr>
      </w:pPr>
      <w:r w:rsidRPr="00084540">
        <w:rPr>
          <w:rFonts w:ascii="仿宋" w:eastAsia="仿宋" w:hAnsi="仿宋" w:cs="仿宋"/>
          <w:sz w:val="21"/>
          <w:szCs w:val="21"/>
        </w:rPr>
        <w:t>制定本</w:t>
      </w:r>
      <w:r>
        <w:rPr>
          <w:rFonts w:ascii="仿宋" w:eastAsia="仿宋" w:hAnsi="仿宋" w:cs="仿宋" w:hint="eastAsia"/>
          <w:sz w:val="21"/>
          <w:szCs w:val="21"/>
        </w:rPr>
        <w:t>文件</w:t>
      </w:r>
      <w:r w:rsidRPr="00084540">
        <w:rPr>
          <w:rFonts w:ascii="仿宋" w:eastAsia="仿宋" w:hAnsi="仿宋" w:cs="仿宋"/>
          <w:sz w:val="21"/>
          <w:szCs w:val="21"/>
        </w:rPr>
        <w:t>的目的是为了统一开关柜暂态地电压（TEV）局部放电与红外热像一体化传感器的性能要求、试验方法及分级评价规则。通过建立科学、可量化的分级评价体系，规范一体化传感器的设计、制造和检验，为产品选型、工程应用及质量监督提供技术依据，提升开关柜状态监测的可靠性和有效性。</w:t>
      </w:r>
      <w:r>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4E5E0F0" w14:textId="6ECA8CF9" w:rsidR="00084540" w:rsidRPr="00084540" w:rsidRDefault="00084540" w:rsidP="00084540">
      <w:pPr>
        <w:pStyle w:val="affc"/>
        <w:widowControl/>
        <w:spacing w:beforeAutospacing="0" w:afterAutospacing="0"/>
        <w:ind w:firstLineChars="200" w:firstLine="420"/>
        <w:rPr>
          <w:rFonts w:ascii="仿宋" w:eastAsia="仿宋" w:hAnsi="仿宋" w:cs="仿宋" w:hint="eastAsia"/>
          <w:sz w:val="21"/>
          <w:szCs w:val="21"/>
        </w:rPr>
      </w:pPr>
      <w:r w:rsidRPr="00084540">
        <w:rPr>
          <w:rFonts w:ascii="仿宋" w:eastAsia="仿宋" w:hAnsi="仿宋" w:cs="仿宋" w:hint="eastAsia"/>
          <w:sz w:val="21"/>
          <w:szCs w:val="21"/>
        </w:rPr>
        <w:t>本</w:t>
      </w:r>
      <w:r>
        <w:rPr>
          <w:rFonts w:ascii="仿宋" w:eastAsia="仿宋" w:hAnsi="仿宋" w:cs="仿宋" w:hint="eastAsia"/>
          <w:sz w:val="21"/>
          <w:szCs w:val="21"/>
        </w:rPr>
        <w:t>文件</w:t>
      </w:r>
      <w:r w:rsidRPr="00084540">
        <w:rPr>
          <w:rFonts w:ascii="仿宋" w:eastAsia="仿宋" w:hAnsi="仿宋" w:cs="仿宋" w:hint="eastAsia"/>
          <w:sz w:val="21"/>
          <w:szCs w:val="21"/>
        </w:rPr>
        <w:t>填补了国内在TEV局放与红外热像一体化传感器性能分级评价方面的标准空白，具有以下重要意义：</w:t>
      </w:r>
    </w:p>
    <w:p w14:paraId="72E19974" w14:textId="2527DAB9" w:rsidR="00084540" w:rsidRPr="00084540" w:rsidRDefault="00084540" w:rsidP="00084540">
      <w:pPr>
        <w:pStyle w:val="affc"/>
        <w:widowControl/>
        <w:spacing w:beforeAutospacing="0" w:afterAutospacing="0"/>
        <w:ind w:firstLineChars="200" w:firstLine="420"/>
        <w:rPr>
          <w:rFonts w:ascii="仿宋" w:eastAsia="仿宋" w:hAnsi="仿宋" w:cs="仿宋" w:hint="eastAsia"/>
          <w:sz w:val="21"/>
          <w:szCs w:val="21"/>
        </w:rPr>
      </w:pPr>
      <w:r>
        <w:rPr>
          <w:rFonts w:ascii="仿宋" w:eastAsia="仿宋" w:hAnsi="仿宋" w:cs="仿宋" w:hint="eastAsia"/>
          <w:sz w:val="21"/>
          <w:szCs w:val="21"/>
        </w:rPr>
        <w:t>1、</w:t>
      </w:r>
      <w:r w:rsidRPr="00084540">
        <w:rPr>
          <w:rFonts w:ascii="仿宋" w:eastAsia="仿宋" w:hAnsi="仿宋" w:cs="仿宋" w:hint="eastAsia"/>
          <w:sz w:val="21"/>
          <w:szCs w:val="21"/>
        </w:rPr>
        <w:t>推动传感器产品向高性能、高可靠性方向发展，促进技术创新与产业升级；</w:t>
      </w:r>
    </w:p>
    <w:p w14:paraId="5FA61E10" w14:textId="381765DE" w:rsidR="00084540" w:rsidRPr="00084540" w:rsidRDefault="00084540" w:rsidP="00084540">
      <w:pPr>
        <w:pStyle w:val="affc"/>
        <w:widowControl/>
        <w:spacing w:beforeAutospacing="0" w:afterAutospacing="0"/>
        <w:ind w:firstLineChars="200" w:firstLine="420"/>
        <w:rPr>
          <w:rFonts w:ascii="仿宋" w:eastAsia="仿宋" w:hAnsi="仿宋" w:cs="仿宋" w:hint="eastAsia"/>
          <w:sz w:val="21"/>
          <w:szCs w:val="21"/>
        </w:rPr>
      </w:pPr>
      <w:r>
        <w:rPr>
          <w:rFonts w:ascii="仿宋" w:eastAsia="仿宋" w:hAnsi="仿宋" w:cs="仿宋" w:hint="eastAsia"/>
          <w:sz w:val="21"/>
          <w:szCs w:val="21"/>
        </w:rPr>
        <w:t>2、</w:t>
      </w:r>
      <w:r w:rsidRPr="00084540">
        <w:rPr>
          <w:rFonts w:ascii="仿宋" w:eastAsia="仿宋" w:hAnsi="仿宋" w:cs="仿宋" w:hint="eastAsia"/>
          <w:sz w:val="21"/>
          <w:szCs w:val="21"/>
        </w:rPr>
        <w:t>为电力用户提供明确的分级选型依据，降低采购风险和运维成本；</w:t>
      </w:r>
    </w:p>
    <w:p w14:paraId="53975E16" w14:textId="7B979EDC" w:rsidR="00084540" w:rsidRPr="00084540" w:rsidRDefault="00084540" w:rsidP="00084540">
      <w:pPr>
        <w:pStyle w:val="affc"/>
        <w:widowControl/>
        <w:spacing w:beforeAutospacing="0" w:afterAutospacing="0"/>
        <w:ind w:firstLineChars="200" w:firstLine="420"/>
        <w:rPr>
          <w:rFonts w:ascii="仿宋" w:eastAsia="仿宋" w:hAnsi="仿宋" w:cs="仿宋" w:hint="eastAsia"/>
          <w:sz w:val="21"/>
          <w:szCs w:val="21"/>
        </w:rPr>
      </w:pPr>
      <w:r>
        <w:rPr>
          <w:rFonts w:ascii="仿宋" w:eastAsia="仿宋" w:hAnsi="仿宋" w:cs="仿宋" w:hint="eastAsia"/>
          <w:sz w:val="21"/>
          <w:szCs w:val="21"/>
        </w:rPr>
        <w:t>3、</w:t>
      </w:r>
      <w:r w:rsidRPr="00084540">
        <w:rPr>
          <w:rFonts w:ascii="仿宋" w:eastAsia="仿宋" w:hAnsi="仿宋" w:cs="仿宋" w:hint="eastAsia"/>
          <w:sz w:val="21"/>
          <w:szCs w:val="21"/>
        </w:rPr>
        <w:t>保障开关柜安全稳定运行，减少因局放和过热引发的设备故障，提升供电可靠性；</w:t>
      </w:r>
    </w:p>
    <w:p w14:paraId="1C3D9695" w14:textId="26B660DC" w:rsidR="00DD042A" w:rsidRDefault="00084540" w:rsidP="00084540">
      <w:pPr>
        <w:pStyle w:val="affc"/>
        <w:widowControl/>
        <w:spacing w:beforeAutospacing="0" w:afterAutospacing="0"/>
        <w:ind w:firstLineChars="200" w:firstLine="420"/>
        <w:jc w:val="both"/>
        <w:rPr>
          <w:rFonts w:ascii="仿宋" w:eastAsia="仿宋" w:hAnsi="仿宋" w:cs="仿宋" w:hint="eastAsia"/>
          <w:sz w:val="21"/>
          <w:szCs w:val="21"/>
        </w:rPr>
      </w:pPr>
      <w:r>
        <w:rPr>
          <w:rFonts w:ascii="仿宋" w:eastAsia="仿宋" w:hAnsi="仿宋" w:cs="仿宋" w:hint="eastAsia"/>
          <w:sz w:val="21"/>
          <w:szCs w:val="21"/>
        </w:rPr>
        <w:t>4、</w:t>
      </w:r>
      <w:r w:rsidRPr="00084540">
        <w:rPr>
          <w:rFonts w:ascii="仿宋" w:eastAsia="仿宋" w:hAnsi="仿宋" w:cs="仿宋" w:hint="eastAsia"/>
          <w:sz w:val="21"/>
          <w:szCs w:val="21"/>
        </w:rPr>
        <w:t>完善电力设备智能传感标准体系，支撑电网数字化、智能化转型</w:t>
      </w:r>
      <w:r>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10B4DFE7" w:rsidR="00DD042A" w:rsidRDefault="00084540">
      <w:pPr>
        <w:pStyle w:val="affc"/>
        <w:widowControl/>
        <w:spacing w:beforeAutospacing="0" w:afterAutospacing="0"/>
        <w:ind w:firstLineChars="200" w:firstLine="420"/>
        <w:jc w:val="both"/>
        <w:rPr>
          <w:rFonts w:ascii="仿宋" w:eastAsia="仿宋" w:hAnsi="仿宋" w:cs="仿宋" w:hint="eastAsia"/>
          <w:sz w:val="21"/>
          <w:szCs w:val="21"/>
        </w:rPr>
      </w:pPr>
      <w:r w:rsidRPr="00084540">
        <w:rPr>
          <w:rFonts w:ascii="仿宋" w:eastAsia="仿宋" w:hAnsi="仿宋" w:cs="仿宋"/>
          <w:sz w:val="21"/>
          <w:szCs w:val="21"/>
        </w:rPr>
        <w:t>目前，国内外尚无针对开关柜TEV局放与红外热像一体化传感器的专用性能分级评价标准。市场上各厂家产品性能参差不齐，技术指标表述不一，用户难以横向比较和科学选型。部分产品灵敏度低、抗干扰能力差、数据融合效果不佳，导致误报、漏报频发，影响开关柜状态监测的可信度。因此，亟需制定统一的团体标准，明确最低性能要求、分级限值和试验方法，引导行业健康有序发展</w:t>
      </w:r>
      <w:r>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6B7924A1"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BF4379">
        <w:rPr>
          <w:rFonts w:ascii="仿宋" w:eastAsia="仿宋" w:hAnsi="仿宋" w:cs="仿宋" w:hint="eastAsia"/>
          <w:szCs w:val="21"/>
        </w:rPr>
        <w:t>XXX</w:t>
      </w:r>
      <w:r>
        <w:rPr>
          <w:rFonts w:ascii="仿宋" w:eastAsia="仿宋" w:hAnsi="仿宋" w:cs="仿宋" w:hint="eastAsia"/>
          <w:szCs w:val="21"/>
        </w:rPr>
        <w:t>提出，中国西部开发促进会归口。</w:t>
      </w:r>
    </w:p>
    <w:p w14:paraId="5614665B" w14:textId="7B629547"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BF4379">
        <w:rPr>
          <w:rFonts w:ascii="仿宋" w:eastAsia="仿宋" w:hAnsi="仿宋" w:cs="仿宋" w:hint="eastAsia"/>
          <w:szCs w:val="21"/>
        </w:rPr>
        <w:t>XXX</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lastRenderedPageBreak/>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0C707968" w14:textId="77777777" w:rsidR="009F5859" w:rsidRDefault="009F5859">
      <w:pPr>
        <w:pStyle w:val="affb"/>
        <w:rPr>
          <w:rFonts w:ascii="仿宋" w:eastAsia="仿宋" w:hAnsi="仿宋" w:cs="仿宋" w:hint="eastAsia"/>
          <w:szCs w:val="21"/>
        </w:rPr>
      </w:pPr>
      <w:r w:rsidRPr="009F5859">
        <w:rPr>
          <w:rFonts w:ascii="仿宋" w:eastAsia="仿宋" w:hAnsi="仿宋" w:cs="仿宋"/>
          <w:szCs w:val="21"/>
        </w:rPr>
        <w:t>组建专项调研小组，赴多个省份的开关设备制造厂、变电站及电力用户单位，针对开关柜局部放电监测和红外热像测温技术的应用现状开展实地调研，收集当前TEV传感器、红外传感器及一体化集成产品的技术参数、使用痛点及用户需求；</w:t>
      </w:r>
    </w:p>
    <w:p w14:paraId="3F01D72E" w14:textId="77777777" w:rsidR="009F5859" w:rsidRDefault="009F5859">
      <w:pPr>
        <w:pStyle w:val="affb"/>
        <w:rPr>
          <w:rFonts w:ascii="仿宋" w:eastAsia="仿宋" w:hAnsi="仿宋" w:cs="仿宋" w:hint="eastAsia"/>
          <w:szCs w:val="21"/>
        </w:rPr>
      </w:pPr>
      <w:r w:rsidRPr="009F5859">
        <w:rPr>
          <w:rFonts w:ascii="仿宋" w:eastAsia="仿宋" w:hAnsi="仿宋" w:cs="仿宋"/>
          <w:szCs w:val="21"/>
        </w:rPr>
        <w:t>系统梳理国内外相关标准与技术文献，分析GB/T 7354、GB/T 19870、GB/T 17626系列等标准中可参考的试验方法和性能指标；</w:t>
      </w:r>
    </w:p>
    <w:p w14:paraId="0205E1E5" w14:textId="44A8CDDC" w:rsidR="00DD042A" w:rsidRDefault="009F5859">
      <w:pPr>
        <w:pStyle w:val="affb"/>
        <w:rPr>
          <w:rFonts w:ascii="仿宋" w:eastAsia="仿宋" w:hAnsi="仿宋" w:cs="仿宋" w:hint="eastAsia"/>
          <w:szCs w:val="21"/>
        </w:rPr>
      </w:pPr>
      <w:r w:rsidRPr="009F5859">
        <w:rPr>
          <w:rFonts w:ascii="仿宋" w:eastAsia="仿宋" w:hAnsi="仿宋" w:cs="仿宋"/>
          <w:szCs w:val="21"/>
        </w:rPr>
        <w:t>召开研讨会，邀请高电压技术、传感器设计、电磁兼容、状态监测等领域的专家，明确标准编制的核心框架、关键技术指标及分级逻辑。</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8DBAF9F" w14:textId="4B732994" w:rsidR="00DD042A" w:rsidRDefault="00000000">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61145E" w:rsidRPr="0061145E">
        <w:rPr>
          <w:rFonts w:ascii="仿宋" w:eastAsia="仿宋" w:hAnsi="仿宋" w:cs="仿宋"/>
          <w:szCs w:val="21"/>
        </w:rPr>
        <w:t>开关柜暂态地电压局放与红外热像一体化传感器性能分级评价方法</w:t>
      </w:r>
      <w:r>
        <w:rPr>
          <w:rFonts w:ascii="仿宋" w:eastAsia="仿宋" w:hAnsi="仿宋" w:cs="仿宋" w:hint="eastAsia"/>
          <w:szCs w:val="21"/>
        </w:rPr>
        <w:t>》团体标准编制工作；</w:t>
      </w:r>
    </w:p>
    <w:p w14:paraId="54F17021" w14:textId="68165AFD" w:rsidR="00DD042A" w:rsidRDefault="009F5859">
      <w:pPr>
        <w:pStyle w:val="affb"/>
        <w:rPr>
          <w:rFonts w:ascii="仿宋" w:eastAsia="仿宋" w:hAnsi="仿宋" w:cs="仿宋" w:hint="eastAsia"/>
          <w:szCs w:val="21"/>
        </w:rPr>
      </w:pPr>
      <w:r w:rsidRPr="009F5859">
        <w:rPr>
          <w:rFonts w:ascii="仿宋" w:eastAsia="仿宋" w:hAnsi="仿宋" w:cs="仿宋"/>
          <w:szCs w:val="21"/>
        </w:rPr>
        <w:t>组建由电力科研机构、检测机构、传感器制造企业、高等院校等组成的标准起草工作组，明确分工职责，制定“调研-起草-研讨-征求意见-定稿”的编制工作计划</w:t>
      </w:r>
      <w:r>
        <w:rPr>
          <w:rFonts w:ascii="仿宋" w:eastAsia="仿宋" w:hAnsi="仿宋" w:cs="仿宋" w:hint="eastAsia"/>
          <w:szCs w:val="21"/>
        </w:rPr>
        <w:t>；</w:t>
      </w:r>
    </w:p>
    <w:p w14:paraId="5F7AB47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完成立项论证报告，明确标准适用范围、核心技术方向，报归口单位审核通过。</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5250A61D" w14:textId="0B4ABD93" w:rsidR="00DD042A" w:rsidRDefault="009F5859">
      <w:pPr>
        <w:pStyle w:val="affb"/>
        <w:rPr>
          <w:rFonts w:ascii="仿宋" w:eastAsia="仿宋" w:hAnsi="仿宋" w:cs="仿宋" w:hint="eastAsia"/>
          <w:szCs w:val="21"/>
        </w:rPr>
      </w:pPr>
      <w:r w:rsidRPr="009F5859">
        <w:rPr>
          <w:rFonts w:ascii="仿宋" w:eastAsia="仿宋" w:hAnsi="仿宋" w:cs="仿宋"/>
          <w:szCs w:val="21"/>
        </w:rPr>
        <w:t>起草工作组结合调研数据与专家意见，搭建标准整体框架，涵盖范围、规范性引用文件、术语和定义、总体要求、TEV局放性能要求、红外热像性能要求、数据融合与同步性能要求、环境适应性与电磁兼容性、试验方法、性能分级与评价规则等10个核心章节</w:t>
      </w:r>
      <w:r>
        <w:rPr>
          <w:rFonts w:ascii="仿宋" w:eastAsia="仿宋" w:hAnsi="仿宋" w:cs="仿宋" w:hint="eastAsia"/>
          <w:szCs w:val="21"/>
        </w:rPr>
        <w:t>；</w:t>
      </w:r>
    </w:p>
    <w:p w14:paraId="1BC6F67B" w14:textId="6A8004F2" w:rsidR="00DD042A" w:rsidRDefault="00000000">
      <w:pPr>
        <w:pStyle w:val="affb"/>
        <w:rPr>
          <w:rFonts w:ascii="仿宋" w:eastAsia="仿宋" w:hAnsi="仿宋" w:cs="仿宋" w:hint="eastAsia"/>
          <w:szCs w:val="21"/>
        </w:rPr>
      </w:pPr>
      <w:r>
        <w:rPr>
          <w:rFonts w:ascii="仿宋" w:eastAsia="仿宋" w:hAnsi="仿宋" w:cs="仿宋" w:hint="eastAsia"/>
          <w:szCs w:val="21"/>
        </w:rPr>
        <w:t>依据GB/T 1.1-2020《标准化工作导则 第1部分：标准化文件的结构和起草规则》规定，</w:t>
      </w:r>
      <w:r w:rsidR="009F5859" w:rsidRPr="009F5859">
        <w:rPr>
          <w:rFonts w:ascii="仿宋" w:eastAsia="仿宋" w:hAnsi="仿宋" w:cs="仿宋"/>
          <w:szCs w:val="21"/>
        </w:rPr>
        <w:t>细化各章节技术要求，明确检测灵敏度（≤10</w:t>
      </w:r>
      <w:r w:rsidR="009F5859">
        <w:rPr>
          <w:rFonts w:ascii="仿宋" w:eastAsia="仿宋" w:hAnsi="仿宋" w:cs="仿宋"/>
          <w:szCs w:val="21"/>
        </w:rPr>
        <w:t> </w:t>
      </w:r>
      <w:r w:rsidR="009F5859" w:rsidRPr="009F5859">
        <w:rPr>
          <w:rFonts w:ascii="仿宋" w:eastAsia="仿宋" w:hAnsi="仿宋" w:cs="仿宋"/>
          <w:szCs w:val="21"/>
        </w:rPr>
        <w:t>pC）、动态范围（≥40</w:t>
      </w:r>
      <w:r w:rsidR="009F5859">
        <w:rPr>
          <w:rFonts w:ascii="仿宋" w:eastAsia="仿宋" w:hAnsi="仿宋" w:cs="仿宋"/>
          <w:szCs w:val="21"/>
        </w:rPr>
        <w:t> </w:t>
      </w:r>
      <w:r w:rsidR="009F5859" w:rsidRPr="009F5859">
        <w:rPr>
          <w:rFonts w:ascii="仿宋" w:eastAsia="仿宋" w:hAnsi="仿宋" w:cs="仿宋"/>
          <w:szCs w:val="21"/>
        </w:rPr>
        <w:t>dB）、测温精度（±2</w:t>
      </w:r>
      <w:r w:rsidR="009F5859">
        <w:rPr>
          <w:rFonts w:ascii="仿宋" w:eastAsia="仿宋" w:hAnsi="仿宋" w:cs="仿宋"/>
          <w:szCs w:val="21"/>
        </w:rPr>
        <w:t> </w:t>
      </w:r>
      <w:r w:rsidR="009F5859" w:rsidRPr="009F5859">
        <w:rPr>
          <w:rFonts w:ascii="仿宋" w:eastAsia="仿宋" w:hAnsi="仿宋" w:cs="仿宋"/>
          <w:szCs w:val="21"/>
        </w:rPr>
        <w:t>℃或±2%）、NETD（≤0.05</w:t>
      </w:r>
      <w:r w:rsidR="009F5859">
        <w:rPr>
          <w:rFonts w:ascii="仿宋" w:eastAsia="仿宋" w:hAnsi="仿宋" w:cs="仿宋"/>
          <w:szCs w:val="21"/>
        </w:rPr>
        <w:t> </w:t>
      </w:r>
      <w:r w:rsidR="009F5859" w:rsidRPr="009F5859">
        <w:rPr>
          <w:rFonts w:ascii="仿宋" w:eastAsia="仿宋" w:hAnsi="仿宋" w:cs="仿宋"/>
          <w:szCs w:val="21"/>
        </w:rPr>
        <w:t>℃）、时间同步精度（≤1</w:t>
      </w:r>
      <w:r w:rsidR="009F5859">
        <w:rPr>
          <w:rFonts w:ascii="仿宋" w:eastAsia="仿宋" w:hAnsi="仿宋" w:cs="仿宋"/>
          <w:szCs w:val="21"/>
        </w:rPr>
        <w:t> </w:t>
      </w:r>
      <w:r w:rsidR="009F5859" w:rsidRPr="009F5859">
        <w:rPr>
          <w:rFonts w:ascii="仿宋" w:eastAsia="仿宋" w:hAnsi="仿宋" w:cs="仿宋"/>
          <w:szCs w:val="21"/>
        </w:rPr>
        <w:t>ms）、分级限值等关键参数</w:t>
      </w:r>
      <w:r>
        <w:rPr>
          <w:rFonts w:ascii="仿宋" w:eastAsia="仿宋" w:hAnsi="仿宋" w:cs="仿宋" w:hint="eastAsia"/>
          <w:szCs w:val="21"/>
        </w:rPr>
        <w:t>；</w:t>
      </w:r>
    </w:p>
    <w:p w14:paraId="19C09E25" w14:textId="2E3EAC88" w:rsidR="00DD042A" w:rsidRDefault="009F5859">
      <w:pPr>
        <w:pStyle w:val="affb"/>
        <w:rPr>
          <w:rFonts w:ascii="仿宋" w:eastAsia="仿宋" w:hAnsi="仿宋" w:cs="仿宋" w:hint="eastAsia"/>
          <w:szCs w:val="21"/>
        </w:rPr>
      </w:pPr>
      <w:r w:rsidRPr="009F5859">
        <w:rPr>
          <w:rFonts w:ascii="仿宋" w:eastAsia="仿宋" w:hAnsi="仿宋" w:cs="仿宋"/>
          <w:szCs w:val="21"/>
        </w:rPr>
        <w:t>完成标准草案初稿，组织内部研讨会，优化分级指标权重、综合评分计算方法及等级判定规则，形成工作组讨论稿</w:t>
      </w:r>
      <w:r>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63394E6C" w:rsidR="00DD042A" w:rsidRDefault="009F5859">
      <w:pPr>
        <w:pStyle w:val="affb"/>
        <w:rPr>
          <w:rFonts w:ascii="仿宋" w:eastAsia="仿宋" w:hAnsi="仿宋" w:cs="仿宋" w:hint="eastAsia"/>
          <w:szCs w:val="21"/>
        </w:rPr>
      </w:pPr>
      <w:r w:rsidRPr="009F5859">
        <w:rPr>
          <w:rFonts w:ascii="仿宋" w:eastAsia="仿宋" w:hAnsi="仿宋" w:cs="仿宋"/>
          <w:szCs w:val="21"/>
        </w:rPr>
        <w:t>通过协会、全国团体标准信息平台等渠道公开征求意见，定向和非定向征求行业内相关企业、科研院校、检测机构等多方意见和建议；由起草工作组逐一梳理反馈意见，对合理的意见予以采纳并修改标准文本，对有争议的内容组织专家再次论证，最终形成征求意见稿</w:t>
      </w:r>
      <w:r>
        <w:rPr>
          <w:rFonts w:ascii="仿宋" w:eastAsia="仿宋" w:hAnsi="仿宋" w:cs="仿宋" w:hint="eastAsia"/>
          <w:szCs w:val="21"/>
        </w:rPr>
        <w:t>。</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1180810F" w14:textId="75FCB1BF"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选取国内不同厂商的开关柜TEV局放与红外热像一体化传感器样品（每型不少于3台），在具备CNAS资质的第三方检测实验室开展验证试验。重点验证以下指标：</w:t>
      </w:r>
    </w:p>
    <w:p w14:paraId="05C050D9" w14:textId="209E55A0"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TEV性能：灵敏度、动态范围、信噪比、重复性、稳定性、抗电磁干扰能力、信号识别准确率；</w:t>
      </w:r>
    </w:p>
    <w:p w14:paraId="608E68BD" w14:textId="75479112"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红外热像性能：测温范围及精度、NETD、IFOV、图像质量、温度重复性、温差识别能力、报警响应时延；</w:t>
      </w:r>
    </w:p>
    <w:p w14:paraId="23F1D91C" w14:textId="55955759"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数据融合性能：时间同步精度、空间配准误差、融合算法稳定性、关联准确率、数据更新速率、传输时延、误码率；</w:t>
      </w:r>
    </w:p>
    <w:p w14:paraId="7C9213B0" w14:textId="1022C2F8" w:rsidR="00DD042A"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环境适应性与EMC：高低温、湿热、振动冲击、防尘防水、静电放电、电快速瞬变脉冲群、浪涌抗扰度</w:t>
      </w:r>
      <w:r>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1A5FE9D3" w14:textId="4CC35654"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lastRenderedPageBreak/>
        <w:t>TEV性能：样品灵敏度均能达到≤10</w:t>
      </w:r>
      <w:r>
        <w:rPr>
          <w:rFonts w:ascii="仿宋" w:eastAsia="仿宋" w:hAnsi="仿宋" w:cs="仿宋"/>
          <w:szCs w:val="21"/>
        </w:rPr>
        <w:t> </w:t>
      </w:r>
      <w:r w:rsidRPr="009F5859">
        <w:rPr>
          <w:rFonts w:ascii="仿宋" w:eastAsia="仿宋" w:hAnsi="仿宋" w:cs="仿宋" w:hint="eastAsia"/>
          <w:szCs w:val="21"/>
        </w:rPr>
        <w:t>pC，部分Ⅰ级样品≤5</w:t>
      </w:r>
      <w:r>
        <w:rPr>
          <w:rFonts w:ascii="仿宋" w:eastAsia="仿宋" w:hAnsi="仿宋" w:cs="仿宋"/>
          <w:szCs w:val="21"/>
        </w:rPr>
        <w:t> </w:t>
      </w:r>
      <w:r w:rsidRPr="009F5859">
        <w:rPr>
          <w:rFonts w:ascii="仿宋" w:eastAsia="仿宋" w:hAnsi="仿宋" w:cs="仿宋" w:hint="eastAsia"/>
          <w:szCs w:val="21"/>
        </w:rPr>
        <w:t>pC；动态范围≥45</w:t>
      </w:r>
      <w:r>
        <w:rPr>
          <w:rFonts w:ascii="仿宋" w:eastAsia="仿宋" w:hAnsi="仿宋" w:cs="仿宋"/>
          <w:szCs w:val="21"/>
        </w:rPr>
        <w:t> </w:t>
      </w:r>
      <w:r w:rsidRPr="009F5859">
        <w:rPr>
          <w:rFonts w:ascii="仿宋" w:eastAsia="仿宋" w:hAnsi="仿宋" w:cs="仿宋" w:hint="eastAsia"/>
          <w:szCs w:val="21"/>
        </w:rPr>
        <w:t>dB；信噪比≥35</w:t>
      </w:r>
      <w:r>
        <w:rPr>
          <w:rFonts w:ascii="仿宋" w:eastAsia="仿宋" w:hAnsi="仿宋" w:cs="仿宋"/>
          <w:szCs w:val="21"/>
        </w:rPr>
        <w:t> </w:t>
      </w:r>
      <w:r w:rsidRPr="009F5859">
        <w:rPr>
          <w:rFonts w:ascii="仿宋" w:eastAsia="仿宋" w:hAnsi="仿宋" w:cs="仿宋" w:hint="eastAsia"/>
          <w:szCs w:val="21"/>
        </w:rPr>
        <w:t>dB；重复性相对标准偏差≤3%；短时稳定性变化≤±1.5%，长时稳定性变化≤±4%；静电放电和脉冲群干扰下输出波动≤±4%；典型局放识别准确率≥88%。</w:t>
      </w:r>
    </w:p>
    <w:p w14:paraId="6B5C8B21" w14:textId="247FEABB"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红外热像性能：测温范围均覆盖-20</w:t>
      </w:r>
      <w:r>
        <w:rPr>
          <w:rFonts w:ascii="仿宋" w:eastAsia="仿宋" w:hAnsi="仿宋" w:cs="仿宋"/>
          <w:szCs w:val="21"/>
        </w:rPr>
        <w:t> </w:t>
      </w:r>
      <w:r w:rsidRPr="009F5859">
        <w:rPr>
          <w:rFonts w:ascii="仿宋" w:eastAsia="仿宋" w:hAnsi="仿宋" w:cs="仿宋" w:hint="eastAsia"/>
          <w:szCs w:val="21"/>
        </w:rPr>
        <w:t>℃～300</w:t>
      </w:r>
      <w:r>
        <w:rPr>
          <w:rFonts w:ascii="仿宋" w:eastAsia="仿宋" w:hAnsi="仿宋" w:cs="仿宋"/>
          <w:szCs w:val="21"/>
        </w:rPr>
        <w:t> </w:t>
      </w:r>
      <w:r w:rsidRPr="009F5859">
        <w:rPr>
          <w:rFonts w:ascii="仿宋" w:eastAsia="仿宋" w:hAnsi="仿宋" w:cs="仿宋" w:hint="eastAsia"/>
          <w:szCs w:val="21"/>
        </w:rPr>
        <w:t>℃；在-20</w:t>
      </w:r>
      <w:r>
        <w:rPr>
          <w:rFonts w:ascii="仿宋" w:eastAsia="仿宋" w:hAnsi="仿宋" w:cs="仿宋"/>
          <w:szCs w:val="21"/>
        </w:rPr>
        <w:t> </w:t>
      </w:r>
      <w:r w:rsidRPr="009F5859">
        <w:rPr>
          <w:rFonts w:ascii="仿宋" w:eastAsia="仿宋" w:hAnsi="仿宋" w:cs="仿宋" w:hint="eastAsia"/>
          <w:szCs w:val="21"/>
        </w:rPr>
        <w:t>℃～100</w:t>
      </w:r>
      <w:r>
        <w:rPr>
          <w:rFonts w:ascii="仿宋" w:eastAsia="仿宋" w:hAnsi="仿宋" w:cs="仿宋"/>
          <w:szCs w:val="21"/>
        </w:rPr>
        <w:t> </w:t>
      </w:r>
      <w:r w:rsidRPr="009F5859">
        <w:rPr>
          <w:rFonts w:ascii="仿宋" w:eastAsia="仿宋" w:hAnsi="仿宋" w:cs="仿宋" w:hint="eastAsia"/>
          <w:szCs w:val="21"/>
        </w:rPr>
        <w:t>℃范围内最大误差±1.5 ℃，100</w:t>
      </w:r>
      <w:r>
        <w:rPr>
          <w:rFonts w:ascii="仿宋" w:eastAsia="仿宋" w:hAnsi="仿宋" w:cs="仿宋"/>
          <w:szCs w:val="21"/>
        </w:rPr>
        <w:t> </w:t>
      </w:r>
      <w:r w:rsidRPr="009F5859">
        <w:rPr>
          <w:rFonts w:ascii="仿宋" w:eastAsia="仿宋" w:hAnsi="仿宋" w:cs="仿宋" w:hint="eastAsia"/>
          <w:szCs w:val="21"/>
        </w:rPr>
        <w:t>℃～300</w:t>
      </w:r>
      <w:r>
        <w:rPr>
          <w:rFonts w:ascii="仿宋" w:eastAsia="仿宋" w:hAnsi="仿宋" w:cs="仿宋"/>
          <w:szCs w:val="21"/>
        </w:rPr>
        <w:t> </w:t>
      </w:r>
      <w:r w:rsidRPr="009F5859">
        <w:rPr>
          <w:rFonts w:ascii="仿宋" w:eastAsia="仿宋" w:hAnsi="仿宋" w:cs="仿宋" w:hint="eastAsia"/>
          <w:szCs w:val="21"/>
        </w:rPr>
        <w:t>℃范围内最大误差±1.8%；NETD≤0.045</w:t>
      </w:r>
      <w:r>
        <w:rPr>
          <w:rFonts w:ascii="仿宋" w:eastAsia="仿宋" w:hAnsi="仿宋" w:cs="仿宋"/>
          <w:szCs w:val="21"/>
        </w:rPr>
        <w:t> </w:t>
      </w:r>
      <w:r w:rsidRPr="009F5859">
        <w:rPr>
          <w:rFonts w:ascii="仿宋" w:eastAsia="仿宋" w:hAnsi="仿宋" w:cs="仿宋" w:hint="eastAsia"/>
          <w:szCs w:val="21"/>
        </w:rPr>
        <w:t>℃；IFOV≤2.2</w:t>
      </w:r>
      <w:r>
        <w:rPr>
          <w:rFonts w:ascii="仿宋" w:eastAsia="仿宋" w:hAnsi="仿宋" w:cs="仿宋"/>
          <w:szCs w:val="21"/>
        </w:rPr>
        <w:t> </w:t>
      </w:r>
      <w:r w:rsidRPr="009F5859">
        <w:rPr>
          <w:rFonts w:ascii="仿宋" w:eastAsia="仿宋" w:hAnsi="仿宋" w:cs="仿宋" w:hint="eastAsia"/>
          <w:szCs w:val="21"/>
        </w:rPr>
        <w:t>mrad；像元数均达到160×120以上；温度重复性标准偏差≤0.4</w:t>
      </w:r>
      <w:r>
        <w:rPr>
          <w:rFonts w:ascii="仿宋" w:eastAsia="仿宋" w:hAnsi="仿宋" w:cs="仿宋"/>
          <w:szCs w:val="21"/>
        </w:rPr>
        <w:t> </w:t>
      </w:r>
      <w:r w:rsidRPr="009F5859">
        <w:rPr>
          <w:rFonts w:ascii="仿宋" w:eastAsia="仿宋" w:hAnsi="仿宋" w:cs="仿宋" w:hint="eastAsia"/>
          <w:szCs w:val="21"/>
        </w:rPr>
        <w:t>℃；MRTD≤0.25</w:t>
      </w:r>
      <w:r>
        <w:rPr>
          <w:rFonts w:ascii="仿宋" w:eastAsia="仿宋" w:hAnsi="仿宋" w:cs="仿宋"/>
          <w:szCs w:val="21"/>
        </w:rPr>
        <w:t> </w:t>
      </w:r>
      <w:r w:rsidRPr="009F5859">
        <w:rPr>
          <w:rFonts w:ascii="仿宋" w:eastAsia="仿宋" w:hAnsi="仿宋" w:cs="仿宋" w:hint="eastAsia"/>
          <w:szCs w:val="21"/>
        </w:rPr>
        <w:t>℃；过热报警响应时延≤8</w:t>
      </w:r>
      <w:r>
        <w:rPr>
          <w:rFonts w:ascii="仿宋" w:eastAsia="仿宋" w:hAnsi="仿宋" w:cs="仿宋"/>
          <w:szCs w:val="21"/>
        </w:rPr>
        <w:t> </w:t>
      </w:r>
      <w:r w:rsidRPr="009F5859">
        <w:rPr>
          <w:rFonts w:ascii="仿宋" w:eastAsia="仿宋" w:hAnsi="仿宋" w:cs="仿宋" w:hint="eastAsia"/>
          <w:szCs w:val="21"/>
        </w:rPr>
        <w:t>s。</w:t>
      </w:r>
    </w:p>
    <w:p w14:paraId="6C7A05CE" w14:textId="5C6DEFBD" w:rsidR="009F5859" w:rsidRPr="009F5859"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数据融合性能：时间同步偏差≤</w:t>
      </w:r>
      <w:r w:rsidRPr="009F5859">
        <w:rPr>
          <w:rFonts w:ascii="仿宋" w:eastAsia="仿宋" w:hAnsi="仿宋" w:cs="仿宋"/>
          <w:szCs w:val="21"/>
        </w:rPr>
        <w:t>0.8 ms</w:t>
      </w:r>
      <w:r w:rsidRPr="009F5859">
        <w:rPr>
          <w:rFonts w:ascii="仿宋" w:eastAsia="仿宋" w:hAnsi="仿宋" w:cs="仿宋" w:hint="eastAsia"/>
          <w:szCs w:val="21"/>
        </w:rPr>
        <w:t>；空间配准误差≤</w:t>
      </w:r>
      <w:r w:rsidRPr="009F5859">
        <w:rPr>
          <w:rFonts w:ascii="仿宋" w:eastAsia="仿宋" w:hAnsi="仿宋" w:cs="仿宋"/>
          <w:szCs w:val="21"/>
        </w:rPr>
        <w:t>3</w:t>
      </w:r>
      <w:r w:rsidRPr="009F5859">
        <w:rPr>
          <w:rFonts w:ascii="仿宋" w:eastAsia="仿宋" w:hAnsi="仿宋" w:cs="仿宋" w:hint="eastAsia"/>
          <w:szCs w:val="21"/>
        </w:rPr>
        <w:t>倍</w:t>
      </w:r>
      <w:r w:rsidRPr="009F5859">
        <w:rPr>
          <w:rFonts w:ascii="仿宋" w:eastAsia="仿宋" w:hAnsi="仿宋" w:cs="仿宋"/>
          <w:szCs w:val="21"/>
        </w:rPr>
        <w:t>IFOV</w:t>
      </w:r>
      <w:r w:rsidRPr="009F5859">
        <w:rPr>
          <w:rFonts w:ascii="仿宋" w:eastAsia="仿宋" w:hAnsi="仿宋" w:cs="仿宋" w:hint="eastAsia"/>
          <w:szCs w:val="21"/>
        </w:rPr>
        <w:t>；连续运行</w:t>
      </w:r>
      <w:r w:rsidRPr="009F5859">
        <w:rPr>
          <w:rFonts w:ascii="仿宋" w:eastAsia="仿宋" w:hAnsi="仿宋" w:cs="仿宋"/>
          <w:szCs w:val="21"/>
        </w:rPr>
        <w:t>72</w:t>
      </w:r>
      <w:r>
        <w:rPr>
          <w:rFonts w:ascii="仿宋" w:eastAsia="仿宋" w:hAnsi="仿宋" w:cs="仿宋"/>
          <w:szCs w:val="21"/>
        </w:rPr>
        <w:t> </w:t>
      </w:r>
      <w:r w:rsidRPr="009F5859">
        <w:rPr>
          <w:rFonts w:ascii="仿宋" w:eastAsia="仿宋" w:hAnsi="仿宋" w:cs="仿宋"/>
          <w:szCs w:val="21"/>
        </w:rPr>
        <w:t>h</w:t>
      </w:r>
      <w:r w:rsidRPr="009F5859">
        <w:rPr>
          <w:rFonts w:ascii="仿宋" w:eastAsia="仿宋" w:hAnsi="仿宋" w:cs="仿宋" w:hint="eastAsia"/>
          <w:szCs w:val="21"/>
        </w:rPr>
        <w:t>融合结果无异常跳变；关联准确率≥</w:t>
      </w:r>
      <w:r w:rsidRPr="009F5859">
        <w:rPr>
          <w:rFonts w:ascii="仿宋" w:eastAsia="仿宋" w:hAnsi="仿宋" w:cs="仿宋"/>
          <w:szCs w:val="21"/>
        </w:rPr>
        <w:t>92%</w:t>
      </w:r>
      <w:r w:rsidRPr="009F5859">
        <w:rPr>
          <w:rFonts w:ascii="仿宋" w:eastAsia="仿宋" w:hAnsi="仿宋" w:cs="仿宋" w:hint="eastAsia"/>
          <w:szCs w:val="21"/>
        </w:rPr>
        <w:t>；数据更新速率满足标准要求；传输时延≤</w:t>
      </w:r>
      <w:r w:rsidRPr="009F5859">
        <w:rPr>
          <w:rFonts w:ascii="仿宋" w:eastAsia="仿宋" w:hAnsi="仿宋" w:cs="仿宋"/>
          <w:szCs w:val="21"/>
        </w:rPr>
        <w:t>450</w:t>
      </w:r>
      <w:r>
        <w:rPr>
          <w:rFonts w:ascii="仿宋" w:eastAsia="仿宋" w:hAnsi="仿宋" w:cs="仿宋"/>
          <w:szCs w:val="21"/>
        </w:rPr>
        <w:t> </w:t>
      </w:r>
      <w:r w:rsidRPr="009F5859">
        <w:rPr>
          <w:rFonts w:ascii="仿宋" w:eastAsia="仿宋" w:hAnsi="仿宋" w:cs="仿宋"/>
          <w:szCs w:val="21"/>
        </w:rPr>
        <w:t>ms</w:t>
      </w:r>
      <w:r w:rsidRPr="009F5859">
        <w:rPr>
          <w:rFonts w:ascii="仿宋" w:eastAsia="仿宋" w:hAnsi="仿宋" w:cs="仿宋" w:hint="eastAsia"/>
          <w:szCs w:val="21"/>
        </w:rPr>
        <w:t>；误码率≤</w:t>
      </w:r>
      <w:r w:rsidRPr="009F5859">
        <w:rPr>
          <w:rFonts w:ascii="仿宋" w:eastAsia="仿宋" w:hAnsi="仿宋" w:cs="仿宋"/>
          <w:szCs w:val="21"/>
        </w:rPr>
        <w:t>1×10</w:t>
      </w:r>
      <w:r w:rsidRPr="009F5859">
        <w:rPr>
          <w:rFonts w:ascii="Cambria Math" w:eastAsia="仿宋" w:hAnsi="Cambria Math" w:cs="Cambria Math"/>
          <w:szCs w:val="21"/>
        </w:rPr>
        <w:t>⁻⁶</w:t>
      </w:r>
      <w:r w:rsidRPr="009F5859">
        <w:rPr>
          <w:rFonts w:ascii="仿宋" w:eastAsia="仿宋" w:hAnsi="仿宋" w:cs="仿宋" w:hint="eastAsia"/>
          <w:szCs w:val="21"/>
        </w:rPr>
        <w:t>。</w:t>
      </w:r>
    </w:p>
    <w:p w14:paraId="7B28D5A7" w14:textId="203DAA1F" w:rsidR="00DD042A" w:rsidRDefault="009F5859" w:rsidP="009F5859">
      <w:pPr>
        <w:pStyle w:val="affb"/>
        <w:rPr>
          <w:rFonts w:ascii="仿宋" w:eastAsia="仿宋" w:hAnsi="仿宋" w:cs="仿宋" w:hint="eastAsia"/>
          <w:szCs w:val="21"/>
        </w:rPr>
      </w:pPr>
      <w:r w:rsidRPr="009F5859">
        <w:rPr>
          <w:rFonts w:ascii="仿宋" w:eastAsia="仿宋" w:hAnsi="仿宋" w:cs="仿宋" w:hint="eastAsia"/>
          <w:szCs w:val="21"/>
        </w:rPr>
        <w:t>环境适应性与EMC：所有样品通过70 ℃高温、-25 ℃低温、40 ℃/93%湿热试验，性能变化≤±8%；通过振动、冲击、IP40（部分IP54）试验；静电放电、电快速瞬变脉冲群、浪涌抗扰度均达到B类性能判据。</w:t>
      </w:r>
      <w:r>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70CCA1FB" w:rsidR="00DD042A" w:rsidRDefault="009F5859">
      <w:pPr>
        <w:pStyle w:val="affb"/>
        <w:rPr>
          <w:rFonts w:ascii="仿宋" w:eastAsia="仿宋" w:hAnsi="仿宋" w:cs="仿宋" w:hint="eastAsia"/>
          <w:b/>
          <w:bCs/>
          <w:szCs w:val="21"/>
        </w:rPr>
      </w:pPr>
      <w:r w:rsidRPr="009F5859">
        <w:rPr>
          <w:rFonts w:ascii="仿宋" w:eastAsia="仿宋" w:hAnsi="仿宋" w:cs="仿宋"/>
          <w:szCs w:val="21"/>
        </w:rPr>
        <w:t>试验验证表明，本标准规定的各项性能指标合理可行，分级限值能够有效区分不同性能水平的传感器。Ⅰ级、Ⅱ级、Ⅲ级对应明确的实测数据区间，便于用户按需选择。标准中规定的试验方法具有可操作性和</w:t>
      </w:r>
      <w:r w:rsidR="003F06B7">
        <w:rPr>
          <w:rFonts w:ascii="仿宋" w:eastAsia="仿宋" w:hAnsi="仿宋" w:cs="仿宋" w:hint="eastAsia"/>
          <w:szCs w:val="21"/>
        </w:rPr>
        <w:t>复</w:t>
      </w:r>
      <w:r w:rsidRPr="009F5859">
        <w:rPr>
          <w:rFonts w:ascii="仿宋" w:eastAsia="仿宋" w:hAnsi="仿宋" w:cs="仿宋"/>
          <w:szCs w:val="21"/>
        </w:rPr>
        <w:t>现性</w:t>
      </w:r>
      <w:r>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4665C845" w14:textId="2F52EC1A"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当前主流传感器制造企业的技术能力已可满足本标准Ⅲ级及以上要求。高性能产品（Ⅰ级）虽然成本略高，但关键指标如灵敏度、NETD、EMC等已有成熟技术路线（如高耦合电容TEV传感器、氧化钒非制冷红外焦平面、多层屏蔽等）。</w:t>
      </w:r>
    </w:p>
    <w:p w14:paraId="065AFD56" w14:textId="1B385D51"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标准中引用的试验方法均基于现行国家或行业标准（GB/T 7354、GB/T 19870、GB/T 17626系列），检测设备普及，具备实施条件。</w:t>
      </w:r>
    </w:p>
    <w:p w14:paraId="5F517164" w14:textId="6BB58F9A" w:rsidR="00DD042A"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数据融合算法已在电力设备状态监测领域有较多应用积累，时间同步、空间配准等技术可通过硬件触发和图像配准实现</w:t>
      </w:r>
      <w:r>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419D17C6" w14:textId="01F26BFD"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对于制造商：分级标准引导产品差异化开发，高端产品可提升附加值，中低端产品控制成本，总体有利于市场细分和良性竞争。</w:t>
      </w:r>
    </w:p>
    <w:p w14:paraId="70EBF464" w14:textId="4C257485"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对于用户：可根据设备重要程度选择合适等级的产品，避免过度配置或选型不足。预计全生命周期成本可降低15%～25%。</w:t>
      </w:r>
    </w:p>
    <w:p w14:paraId="62B01750" w14:textId="270B9225" w:rsidR="00DD042A"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对于检测机构：标准提供了统一的检测依据，减少重复性试验成本</w:t>
      </w:r>
      <w:r>
        <w:rPr>
          <w:rFonts w:ascii="仿宋" w:eastAsia="仿宋" w:hAnsi="仿宋" w:cs="仿宋" w:hint="eastAsia"/>
          <w:szCs w:val="21"/>
        </w:rPr>
        <w:t>。</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47CCA743" w14:textId="66CC79AD"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提升一体化传感器产品质量和可靠性，减少因误报、漏报导致的停电检修和故障损失，预计每年可为单个省级电网节约运维费用数百万元。</w:t>
      </w:r>
    </w:p>
    <w:p w14:paraId="76AD3C0C" w14:textId="113985BE" w:rsidR="00DD042A"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推动传感器产业升级，形成年产值数亿元的高性能传感器细分市场。</w:t>
      </w:r>
      <w:r>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14F8BBCA" w14:textId="7B57F90B"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保障开关柜安全运行，降低因局部放电和过热引发的火灾、停电事故风险，提升供电可靠性和公共安全水平。</w:t>
      </w:r>
    </w:p>
    <w:p w14:paraId="731C5A8B" w14:textId="2548F7D2" w:rsidR="00DD042A"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规范市场秩序，为用户选型、招标、验收提供权威依据，减少低质产品恶性竞争</w:t>
      </w:r>
      <w:r>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637EDC85" w14:textId="411F1845" w:rsidR="001E74EF" w:rsidRPr="001E74EF"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通过精准监测延长开关设备使用寿命，减少设备过早更换带来的资源消耗和固体废弃物。</w:t>
      </w:r>
    </w:p>
    <w:p w14:paraId="62991666" w14:textId="60F2E0A9" w:rsidR="00DD042A" w:rsidRDefault="001E74EF" w:rsidP="001E74EF">
      <w:pPr>
        <w:pStyle w:val="affb"/>
        <w:rPr>
          <w:rFonts w:ascii="仿宋" w:eastAsia="仿宋" w:hAnsi="仿宋" w:cs="仿宋" w:hint="eastAsia"/>
          <w:szCs w:val="21"/>
        </w:rPr>
      </w:pPr>
      <w:r w:rsidRPr="001E74EF">
        <w:rPr>
          <w:rFonts w:ascii="仿宋" w:eastAsia="仿宋" w:hAnsi="仿宋" w:cs="仿宋" w:hint="eastAsia"/>
          <w:szCs w:val="21"/>
        </w:rPr>
        <w:t>降低非计划停电次数，减少应急抢修过程中的碳排放</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lastRenderedPageBreak/>
        <w:t>九、标准主要内容</w:t>
      </w:r>
    </w:p>
    <w:p w14:paraId="37339395" w14:textId="77777777"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（一）总则</w:t>
      </w:r>
    </w:p>
    <w:p w14:paraId="7F3E04B9" w14:textId="24AA7F56" w:rsidR="00DD042A"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规定适用于额定电压3.6</w:t>
      </w:r>
      <w:r>
        <w:rPr>
          <w:rFonts w:ascii="仿宋" w:eastAsia="仿宋" w:hAnsi="仿宋" w:cs="仿宋"/>
          <w:szCs w:val="21"/>
        </w:rPr>
        <w:t> </w:t>
      </w:r>
      <w:r w:rsidRPr="001E74EF">
        <w:rPr>
          <w:rFonts w:ascii="仿宋" w:eastAsia="仿宋" w:hAnsi="仿宋" w:cs="仿宋"/>
          <w:szCs w:val="21"/>
        </w:rPr>
        <w:t>kV～40.5</w:t>
      </w:r>
      <w:r>
        <w:rPr>
          <w:rFonts w:ascii="仿宋" w:eastAsia="仿宋" w:hAnsi="仿宋" w:cs="仿宋"/>
          <w:szCs w:val="21"/>
        </w:rPr>
        <w:t> </w:t>
      </w:r>
      <w:r w:rsidRPr="001E74EF">
        <w:rPr>
          <w:rFonts w:ascii="仿宋" w:eastAsia="仿宋" w:hAnsi="仿宋" w:cs="仿宋"/>
          <w:szCs w:val="21"/>
        </w:rPr>
        <w:t>kV开关柜用TEV局放与红外热像一体化传感器，明确了标准的适用边界</w:t>
      </w:r>
      <w:r>
        <w:rPr>
          <w:rFonts w:ascii="仿宋" w:eastAsia="仿宋" w:hAnsi="仿宋" w:cs="仿宋" w:hint="eastAsia"/>
          <w:szCs w:val="21"/>
        </w:rPr>
        <w:t>。</w:t>
      </w:r>
    </w:p>
    <w:p w14:paraId="421071DE" w14:textId="6B2D56C5"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1E74EF">
        <w:rPr>
          <w:rFonts w:ascii="仿宋" w:eastAsia="仿宋" w:hAnsi="仿宋" w:cs="仿宋" w:hint="eastAsia"/>
          <w:b/>
          <w:bCs/>
          <w:szCs w:val="21"/>
        </w:rPr>
        <w:t>规范性引用文件</w:t>
      </w:r>
    </w:p>
    <w:p w14:paraId="64A47A41" w14:textId="00D3F287" w:rsidR="00DD042A"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列出GB 4793、GB/T 4208、GB/T 6587、GB/T 7354、GB/T 11022、GB/T 17626系列、GB/T 19870、GB/T 33905.4等引用标准。</w:t>
      </w:r>
    </w:p>
    <w:p w14:paraId="3B094647" w14:textId="6B9688FF"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1E74EF" w:rsidRPr="001E74EF">
        <w:rPr>
          <w:rFonts w:ascii="仿宋" w:eastAsia="仿宋" w:hAnsi="仿宋" w:cs="仿宋"/>
          <w:b/>
          <w:bCs/>
          <w:szCs w:val="21"/>
        </w:rPr>
        <w:t>术语和定义</w:t>
      </w:r>
    </w:p>
    <w:p w14:paraId="46A956D2" w14:textId="3F36A1AD" w:rsidR="00DD042A"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给出了暂态地电压、局部放电、红外热像、一体化传感器、灵敏度、信噪比、测温精度、数据融合、分级评价等12个关键术语</w:t>
      </w:r>
      <w:r>
        <w:rPr>
          <w:rFonts w:ascii="仿宋" w:eastAsia="仿宋" w:hAnsi="仿宋" w:cs="仿宋" w:hint="eastAsia"/>
          <w:szCs w:val="21"/>
        </w:rPr>
        <w:t>。</w:t>
      </w:r>
    </w:p>
    <w:p w14:paraId="6214AE04" w14:textId="508A9B4A"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1E74EF">
        <w:rPr>
          <w:rFonts w:ascii="仿宋" w:eastAsia="仿宋" w:hAnsi="仿宋" w:cs="仿宋" w:hint="eastAsia"/>
          <w:b/>
          <w:bCs/>
          <w:szCs w:val="21"/>
        </w:rPr>
        <w:t>总体要求</w:t>
      </w:r>
    </w:p>
    <w:p w14:paraId="3DE1758D" w14:textId="0171E43D" w:rsidR="00DD042A"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包括设计原则（模块化、兼容性、可靠性、安全性）、功能构成、结构型式与安装方式、防护等级、外观与标识、机械强度、接口兼容性、供电方式与功耗限值（≤10 W）、安全设计要求（绝缘电阻≥20 MΩ，介电强度AC 1500 V等）</w:t>
      </w:r>
      <w:r>
        <w:rPr>
          <w:rFonts w:ascii="仿宋" w:eastAsia="仿宋" w:hAnsi="仿宋" w:cs="仿宋" w:hint="eastAsia"/>
          <w:szCs w:val="21"/>
        </w:rPr>
        <w:t>。</w:t>
      </w:r>
    </w:p>
    <w:p w14:paraId="42D76358" w14:textId="313B266C"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1E74EF" w:rsidRPr="001E74EF">
        <w:rPr>
          <w:rFonts w:ascii="仿宋" w:eastAsia="仿宋" w:hAnsi="仿宋" w:cs="仿宋"/>
          <w:b/>
          <w:bCs/>
          <w:szCs w:val="21"/>
        </w:rPr>
        <w:t>暂态地电压（TEV）局放性能要求</w:t>
      </w:r>
    </w:p>
    <w:p w14:paraId="7EB4746C" w14:textId="7138567D" w:rsidR="00DD042A" w:rsidRDefault="00000000" w:rsidP="001E74EF">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过</w:t>
      </w:r>
      <w:r w:rsidR="001E74EF" w:rsidRPr="001E74EF">
        <w:rPr>
          <w:rFonts w:ascii="仿宋" w:eastAsia="仿宋" w:hAnsi="仿宋" w:cs="仿宋"/>
          <w:szCs w:val="21"/>
        </w:rPr>
        <w:t>规定了频率范围（3 MHz～100 MHz）、检测灵敏度（≤10 pC）、动态范围（≥40 dB）、信噪比（≥30 dB）、重复性（RSD≤±5%）、稳定性（短时≤±2%，长时≤±5%）、抗电磁干扰能力、信号识别准确率（≥85%）、报警阈值设置等</w:t>
      </w:r>
      <w:r>
        <w:rPr>
          <w:rFonts w:ascii="仿宋" w:eastAsia="仿宋" w:hAnsi="仿宋" w:cs="仿宋" w:hint="eastAsia"/>
          <w:szCs w:val="21"/>
        </w:rPr>
        <w:t>。</w:t>
      </w:r>
    </w:p>
    <w:p w14:paraId="338C761C" w14:textId="3FC311DE"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1E74EF" w:rsidRPr="001E74EF">
        <w:rPr>
          <w:rFonts w:ascii="仿宋" w:eastAsia="仿宋" w:hAnsi="仿宋" w:cs="仿宋"/>
          <w:b/>
          <w:bCs/>
          <w:szCs w:val="21"/>
        </w:rPr>
        <w:t>红外热像性能要求</w:t>
      </w:r>
    </w:p>
    <w:p w14:paraId="129304D7" w14:textId="71632610" w:rsidR="00DD042A"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规定了测温范围、测温精度、热分辨率、空间分辨率、图像质量、温度重复性、环境适应性、温差识别能力、过热报警逻辑等</w:t>
      </w:r>
      <w:r>
        <w:rPr>
          <w:rFonts w:ascii="仿宋" w:eastAsia="仿宋" w:hAnsi="仿宋" w:cs="仿宋" w:hint="eastAsia"/>
          <w:szCs w:val="21"/>
        </w:rPr>
        <w:t>。</w:t>
      </w:r>
    </w:p>
    <w:p w14:paraId="42B906CF" w14:textId="2073F229" w:rsidR="001E74EF" w:rsidRDefault="001E74EF">
      <w:pPr>
        <w:pStyle w:val="affffffff"/>
        <w:adjustRightInd w:val="0"/>
        <w:snapToGrid w:val="0"/>
        <w:ind w:firstLine="422"/>
        <w:rPr>
          <w:rFonts w:ascii="仿宋" w:eastAsia="仿宋" w:hAnsi="仿宋" w:cs="仿宋" w:hint="eastAsia"/>
          <w:szCs w:val="21"/>
        </w:rPr>
      </w:pPr>
      <w:r w:rsidRPr="001E74EF">
        <w:rPr>
          <w:rFonts w:ascii="仿宋" w:eastAsia="仿宋" w:hAnsi="仿宋" w:cs="仿宋" w:hint="eastAsia"/>
          <w:b/>
          <w:bCs/>
          <w:szCs w:val="21"/>
        </w:rPr>
        <w:t>（七）</w:t>
      </w:r>
      <w:r w:rsidRPr="001E74EF">
        <w:rPr>
          <w:rFonts w:ascii="仿宋" w:eastAsia="仿宋" w:hAnsi="仿宋" w:cs="仿宋"/>
          <w:b/>
          <w:bCs/>
          <w:szCs w:val="21"/>
        </w:rPr>
        <w:t>数据融合与同步性能要求</w:t>
      </w:r>
    </w:p>
    <w:p w14:paraId="473A6264" w14:textId="3861368D" w:rsidR="001E74EF"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包括时间同步精度、空间对应一致性、融合算法稳定性、多源数据关联准确率、异常融合识别、数据更新速率、传输时延、数据完整性等</w:t>
      </w:r>
    </w:p>
    <w:p w14:paraId="4EF1C21E" w14:textId="2FB1A697" w:rsidR="001E74EF" w:rsidRDefault="001E74EF">
      <w:pPr>
        <w:pStyle w:val="affffffff"/>
        <w:adjustRightInd w:val="0"/>
        <w:snapToGrid w:val="0"/>
        <w:ind w:firstLine="422"/>
        <w:rPr>
          <w:rFonts w:ascii="仿宋" w:eastAsia="仿宋" w:hAnsi="仿宋" w:cs="仿宋" w:hint="eastAsia"/>
          <w:szCs w:val="21"/>
        </w:rPr>
      </w:pPr>
      <w:r w:rsidRPr="001E74EF">
        <w:rPr>
          <w:rFonts w:ascii="仿宋" w:eastAsia="仿宋" w:hAnsi="仿宋" w:cs="仿宋"/>
          <w:b/>
          <w:bCs/>
          <w:szCs w:val="21"/>
        </w:rPr>
        <w:t>（八</w:t>
      </w:r>
      <w:r w:rsidRPr="001E74EF">
        <w:rPr>
          <w:rFonts w:ascii="仿宋" w:eastAsia="仿宋" w:hAnsi="仿宋" w:cs="仿宋" w:hint="eastAsia"/>
          <w:b/>
          <w:bCs/>
          <w:szCs w:val="21"/>
        </w:rPr>
        <w:t>）</w:t>
      </w:r>
      <w:r w:rsidRPr="001E74EF">
        <w:rPr>
          <w:rFonts w:ascii="仿宋" w:eastAsia="仿宋" w:hAnsi="仿宋" w:cs="仿宋"/>
          <w:b/>
          <w:bCs/>
          <w:szCs w:val="21"/>
        </w:rPr>
        <w:t>环境适应性与电磁兼容性（EMC）</w:t>
      </w:r>
    </w:p>
    <w:p w14:paraId="4F0D1232" w14:textId="1BFA03EE" w:rsidR="001E74EF"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规定了高低温、湿热、振动、冲击、防尘防水、盐雾等环境试验条件，以及静电放电（±8 kV接触/空气）、电快速瞬变脉冲群（电源±2 kV，信号±1 kV）、浪涌（线-线±1 kV，线-地±2 kV）等EMC试验等级和性能判据</w:t>
      </w:r>
      <w:r>
        <w:rPr>
          <w:rFonts w:ascii="仿宋" w:eastAsia="仿宋" w:hAnsi="仿宋" w:cs="仿宋" w:hint="eastAsia"/>
          <w:szCs w:val="21"/>
        </w:rPr>
        <w:t>。</w:t>
      </w:r>
    </w:p>
    <w:p w14:paraId="39979723" w14:textId="7F125F05" w:rsidR="001E74EF" w:rsidRDefault="001E74EF">
      <w:pPr>
        <w:pStyle w:val="affffffff"/>
        <w:adjustRightInd w:val="0"/>
        <w:snapToGrid w:val="0"/>
        <w:ind w:firstLine="422"/>
        <w:rPr>
          <w:rFonts w:ascii="仿宋" w:eastAsia="仿宋" w:hAnsi="仿宋" w:cs="仿宋" w:hint="eastAsia"/>
          <w:szCs w:val="21"/>
        </w:rPr>
      </w:pPr>
      <w:r w:rsidRPr="001E74EF">
        <w:rPr>
          <w:rFonts w:ascii="仿宋" w:eastAsia="仿宋" w:hAnsi="仿宋" w:cs="仿宋"/>
          <w:b/>
          <w:bCs/>
          <w:szCs w:val="21"/>
        </w:rPr>
        <w:t>（</w:t>
      </w:r>
      <w:r w:rsidRPr="001E74EF">
        <w:rPr>
          <w:rFonts w:ascii="仿宋" w:eastAsia="仿宋" w:hAnsi="仿宋" w:cs="仿宋" w:hint="eastAsia"/>
          <w:b/>
          <w:bCs/>
          <w:szCs w:val="21"/>
        </w:rPr>
        <w:t>九</w:t>
      </w:r>
      <w:r w:rsidRPr="001E74EF">
        <w:rPr>
          <w:rFonts w:ascii="仿宋" w:eastAsia="仿宋" w:hAnsi="仿宋" w:cs="仿宋"/>
          <w:b/>
          <w:bCs/>
          <w:szCs w:val="21"/>
        </w:rPr>
        <w:t>）试验方法</w:t>
      </w:r>
    </w:p>
    <w:p w14:paraId="257EA953" w14:textId="6F013277" w:rsidR="001E74EF"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详细规定了标准试验条件、设备仪器、样品预处理，以及TEV性能、红外性能、数据融合性能、环境适应性、EMC、通信与数据传输的具体试验步骤</w:t>
      </w:r>
      <w:r>
        <w:rPr>
          <w:rFonts w:ascii="仿宋" w:eastAsia="仿宋" w:hAnsi="仿宋" w:cs="仿宋" w:hint="eastAsia"/>
          <w:szCs w:val="21"/>
        </w:rPr>
        <w:t>。</w:t>
      </w:r>
    </w:p>
    <w:p w14:paraId="5113A6D4" w14:textId="7E8AA91B" w:rsidR="001E74EF" w:rsidRDefault="001E74EF">
      <w:pPr>
        <w:pStyle w:val="affffffff"/>
        <w:adjustRightInd w:val="0"/>
        <w:snapToGrid w:val="0"/>
        <w:ind w:firstLine="422"/>
        <w:rPr>
          <w:rFonts w:ascii="仿宋" w:eastAsia="仿宋" w:hAnsi="仿宋" w:cs="仿宋" w:hint="eastAsia"/>
          <w:szCs w:val="21"/>
        </w:rPr>
      </w:pPr>
      <w:r w:rsidRPr="001E74EF">
        <w:rPr>
          <w:rFonts w:ascii="仿宋" w:eastAsia="仿宋" w:hAnsi="仿宋" w:cs="仿宋"/>
          <w:b/>
          <w:bCs/>
          <w:szCs w:val="21"/>
        </w:rPr>
        <w:t>（</w:t>
      </w:r>
      <w:r w:rsidRPr="001E74EF">
        <w:rPr>
          <w:rFonts w:ascii="仿宋" w:eastAsia="仿宋" w:hAnsi="仿宋" w:cs="仿宋" w:hint="eastAsia"/>
          <w:b/>
          <w:bCs/>
          <w:szCs w:val="21"/>
        </w:rPr>
        <w:t>十</w:t>
      </w:r>
      <w:r w:rsidRPr="001E74EF">
        <w:rPr>
          <w:rFonts w:ascii="仿宋" w:eastAsia="仿宋" w:hAnsi="仿宋" w:cs="仿宋"/>
          <w:b/>
          <w:bCs/>
          <w:szCs w:val="21"/>
        </w:rPr>
        <w:t>）性能分级与评价规则</w:t>
      </w:r>
    </w:p>
    <w:p w14:paraId="5354639C" w14:textId="7016C138" w:rsidR="001E74EF" w:rsidRDefault="001E74EF">
      <w:pPr>
        <w:pStyle w:val="affffffff"/>
        <w:adjustRightInd w:val="0"/>
        <w:snapToGrid w:val="0"/>
        <w:ind w:firstLine="420"/>
        <w:rPr>
          <w:rFonts w:ascii="仿宋" w:eastAsia="仿宋" w:hAnsi="仿宋" w:cs="仿宋" w:hint="eastAsia"/>
          <w:szCs w:val="21"/>
        </w:rPr>
      </w:pPr>
      <w:r w:rsidRPr="001E74EF">
        <w:rPr>
          <w:rFonts w:ascii="仿宋" w:eastAsia="仿宋" w:hAnsi="仿宋" w:cs="仿宋"/>
          <w:szCs w:val="21"/>
        </w:rPr>
        <w:t>构建了三级综合评价指标体系，给出了各二级指标权重、三级指标分级限值表（Ⅰ级、Ⅱ级、Ⅲ级），规定了综合评分计算方法和等级判定流程</w:t>
      </w:r>
      <w:r>
        <w:rPr>
          <w:rFonts w:ascii="仿宋" w:eastAsia="仿宋" w:hAnsi="仿宋" w:cs="仿宋" w:hint="eastAsia"/>
          <w:szCs w:val="21"/>
        </w:rPr>
        <w:t>。</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2899902"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BF4379">
        <w:rPr>
          <w:rFonts w:ascii="仿宋" w:eastAsia="仿宋" w:hAnsi="仿宋" w:cs="仿宋" w:hint="eastAsia"/>
          <w:kern w:val="0"/>
          <w:szCs w:val="21"/>
        </w:rPr>
        <w:t>X</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8920" w14:textId="77777777" w:rsidR="008F7786" w:rsidRDefault="008F7786">
      <w:r>
        <w:separator/>
      </w:r>
    </w:p>
  </w:endnote>
  <w:endnote w:type="continuationSeparator" w:id="0">
    <w:p w14:paraId="6DBBA52A" w14:textId="77777777" w:rsidR="008F7786" w:rsidRDefault="008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3EE2" w14:textId="77777777" w:rsidR="008F7786" w:rsidRDefault="008F7786">
      <w:r>
        <w:separator/>
      </w:r>
    </w:p>
  </w:footnote>
  <w:footnote w:type="continuationSeparator" w:id="0">
    <w:p w14:paraId="13755F9D" w14:textId="77777777" w:rsidR="008F7786" w:rsidRDefault="008F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84540"/>
    <w:rsid w:val="00086015"/>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4EF"/>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2763"/>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46E"/>
    <w:rsid w:val="003C3114"/>
    <w:rsid w:val="003C3C56"/>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6B7"/>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145E"/>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8F7786"/>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859"/>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0</TotalTime>
  <Pages>5</Pages>
  <Words>2258</Words>
  <Characters>2485</Characters>
  <Application>Microsoft Office Word</Application>
  <DocSecurity>0</DocSecurity>
  <Lines>92</Lines>
  <Paragraphs>112</Paragraphs>
  <ScaleCrop>false</ScaleCrop>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2026-05-28T11:24:00Z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